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Pr>
        <w:jc w:val="center"/>
      </w:pPr>
      <w:r>
        <w:rPr>
          <w:rFonts w:hint="eastAsia"/>
        </w:rPr>
        <w:drawing>
          <wp:inline distT="0" distB="0" distL="114300" distR="114300">
            <wp:extent cx="4532630" cy="1072515"/>
            <wp:effectExtent l="0" t="0" r="1270" b="0"/>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7" cstate="print"/>
                    <a:stretch>
                      <a:fillRect/>
                    </a:stretch>
                  </pic:blipFill>
                  <pic:spPr>
                    <a:xfrm>
                      <a:off x="0" y="0"/>
                      <a:ext cx="4532630" cy="1072515"/>
                    </a:xfrm>
                    <a:prstGeom prst="rect">
                      <a:avLst/>
                    </a:prstGeom>
                    <a:noFill/>
                    <a:ln>
                      <a:noFill/>
                    </a:ln>
                  </pic:spPr>
                </pic:pic>
              </a:graphicData>
            </a:graphic>
          </wp:inline>
        </w:drawing>
      </w:r>
    </w:p>
    <w:p/>
    <w:p>
      <w:pPr>
        <w:jc w:val="center"/>
      </w:pPr>
    </w:p>
    <w:p>
      <w:pPr>
        <w:widowControl/>
        <w:spacing w:line="360" w:lineRule="auto"/>
        <w:jc w:val="left"/>
        <w:rPr>
          <w:rFonts w:ascii="仿宋" w:hAnsi="仿宋" w:eastAsia="仿宋" w:cs="仿宋"/>
          <w:color w:val="363636"/>
          <w:kern w:val="0"/>
          <w:sz w:val="24"/>
          <w:shd w:val="clear" w:color="auto" w:fill="FFFFFF"/>
        </w:rPr>
      </w:pPr>
      <w:r>
        <w:rPr>
          <w:rFonts w:hint="eastAsia" w:ascii="仿宋" w:hAnsi="仿宋" w:eastAsia="仿宋" w:cs="仿宋"/>
          <w:color w:val="363636"/>
          <w:kern w:val="0"/>
          <w:sz w:val="24"/>
          <w:shd w:val="clear" w:color="auto" w:fill="FFFFFF"/>
        </w:rPr>
        <w:t xml:space="preserve"> </w:t>
      </w:r>
    </w:p>
    <w:p>
      <w:pPr>
        <w:widowControl/>
        <w:spacing w:line="180" w:lineRule="auto"/>
        <w:ind w:firstLine="480" w:firstLineChars="200"/>
        <w:jc w:val="left"/>
        <w:rPr>
          <w:rFonts w:ascii="宋体" w:hAnsi="宋体" w:cs="宋体"/>
          <w:sz w:val="28"/>
          <w:szCs w:val="36"/>
        </w:rPr>
      </w:pPr>
      <w:r>
        <w:rPr>
          <w:rFonts w:ascii="仿宋" w:hAnsi="仿宋" w:eastAsia="仿宋" w:cs="仿宋"/>
          <w:color w:val="363636"/>
          <w:kern w:val="0"/>
          <w:sz w:val="24"/>
          <w:shd w:val="clear" w:color="auto" w:fill="FFFFFF"/>
        </w:rPr>
        <w:t xml:space="preserve"> </w:t>
      </w:r>
    </w:p>
    <w:p>
      <w:pPr>
        <w:spacing w:line="360" w:lineRule="auto"/>
        <w:jc w:val="center"/>
        <w:rPr>
          <w:rFonts w:ascii="宋体" w:hAnsi="宋体" w:cs="宋体"/>
          <w:sz w:val="24"/>
        </w:rPr>
      </w:pPr>
      <w:r>
        <w:rPr>
          <w:rFonts w:ascii="宋体" w:hAnsi="宋体" w:cs="宋体"/>
          <w:sz w:val="24"/>
        </w:rPr>
        <w:fldChar w:fldCharType="begin"/>
      </w:r>
      <w:r>
        <w:rPr>
          <w:rFonts w:ascii="宋体" w:hAnsi="宋体" w:cs="宋体"/>
          <w:sz w:val="24"/>
        </w:rPr>
        <w:instrText xml:space="preserve">INCLUDEPICTURE \d "https://timgsa.baidu.com/timg?image&amp;quality=80&amp;size=b9999_10000&amp;sec=1545713560226&amp;di=ec8f1a320f1adc9aa6169a8678a55d3b&amp;imgtype=jpg&amp;src=http://img0.imgtn.bdimg.com/it/u=1807218535,1841251464&amp;fm=214&amp;gp=0.jpg" \* MERGEFORMATINET </w:instrText>
      </w:r>
      <w:r>
        <w:rPr>
          <w:rFonts w:ascii="宋体" w:hAnsi="宋体" w:cs="宋体"/>
          <w:sz w:val="24"/>
        </w:rPr>
        <w:fldChar w:fldCharType="separate"/>
      </w:r>
      <w:r>
        <w:rPr>
          <w:rFonts w:ascii="宋体" w:hAnsi="宋体" w:cs="宋体"/>
          <w:sz w:val="24"/>
        </w:rPr>
        <w:drawing>
          <wp:inline distT="0" distB="0" distL="114300" distR="114300">
            <wp:extent cx="38100" cy="762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cstate="print"/>
                    <a:stretch>
                      <a:fillRect/>
                    </a:stretch>
                  </pic:blipFill>
                  <pic:spPr>
                    <a:xfrm>
                      <a:off x="0" y="0"/>
                      <a:ext cx="38100" cy="76200"/>
                    </a:xfrm>
                    <a:prstGeom prst="rect">
                      <a:avLst/>
                    </a:prstGeom>
                    <a:noFill/>
                    <a:ln>
                      <a:noFill/>
                    </a:ln>
                  </pic:spPr>
                </pic:pic>
              </a:graphicData>
            </a:graphic>
          </wp:inline>
        </w:drawing>
      </w:r>
      <w:r>
        <w:rPr>
          <w:rFonts w:ascii="宋体" w:hAnsi="宋体" w:cs="宋体"/>
          <w:sz w:val="24"/>
        </w:rPr>
        <w:fldChar w:fldCharType="end"/>
      </w:r>
      <w:r>
        <w:rPr>
          <w:rFonts w:ascii="宋体" w:hAnsi="宋体" w:cs="宋体"/>
          <w:sz w:val="24"/>
        </w:rPr>
        <w:fldChar w:fldCharType="begin"/>
      </w:r>
      <w:r>
        <w:rPr>
          <w:rFonts w:ascii="宋体" w:hAnsi="宋体" w:cs="宋体"/>
          <w:sz w:val="24"/>
        </w:rPr>
        <w:instrText xml:space="preserve">INCLUDEPICTURE \d "https://timgsa.baidu.com/timg?image&amp;quality=80&amp;size=b9999_10000&amp;sec=1545713560226&amp;di=ec8f1a320f1adc9aa6169a8678a55d3b&amp;imgtype=jpg&amp;src=http://img0.imgtn.bdimg.com/it/u=1807218535,1841251464&amp;fm=214&amp;gp=0.jpg" \* MERGEFORMATINET </w:instrText>
      </w:r>
      <w:r>
        <w:rPr>
          <w:rFonts w:ascii="宋体" w:hAnsi="宋体" w:cs="宋体"/>
          <w:sz w:val="24"/>
        </w:rPr>
        <w:fldChar w:fldCharType="separate"/>
      </w:r>
      <w:r>
        <w:rPr>
          <w:rFonts w:ascii="宋体" w:hAnsi="宋体" w:cs="宋体"/>
          <w:sz w:val="24"/>
        </w:rPr>
        <w:drawing>
          <wp:inline distT="0" distB="0" distL="114300" distR="114300">
            <wp:extent cx="38100" cy="76200"/>
            <wp:effectExtent l="0" t="0" r="0" b="0"/>
            <wp:docPr id="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6"/>
                    <pic:cNvPicPr>
                      <a:picLocks noChangeAspect="1"/>
                    </pic:cNvPicPr>
                  </pic:nvPicPr>
                  <pic:blipFill>
                    <a:blip r:embed="rId8" cstate="print"/>
                    <a:stretch>
                      <a:fillRect/>
                    </a:stretch>
                  </pic:blipFill>
                  <pic:spPr>
                    <a:xfrm>
                      <a:off x="0" y="0"/>
                      <a:ext cx="38100" cy="76200"/>
                    </a:xfrm>
                    <a:prstGeom prst="rect">
                      <a:avLst/>
                    </a:prstGeom>
                    <a:noFill/>
                    <a:ln>
                      <a:noFill/>
                    </a:ln>
                  </pic:spPr>
                </pic:pic>
              </a:graphicData>
            </a:graphic>
          </wp:inline>
        </w:drawing>
      </w:r>
      <w:r>
        <w:rPr>
          <w:rFonts w:ascii="宋体" w:hAnsi="宋体" w:cs="宋体"/>
          <w:sz w:val="24"/>
        </w:rPr>
        <w:fldChar w:fldCharType="end"/>
      </w:r>
      <w:r>
        <w:rPr>
          <w:rFonts w:ascii="宋体" w:hAnsi="宋体" w:cs="宋体"/>
          <w:sz w:val="24"/>
        </w:rPr>
        <w:fldChar w:fldCharType="begin"/>
      </w:r>
      <w:r>
        <w:rPr>
          <w:rFonts w:ascii="宋体" w:hAnsi="宋体" w:cs="宋体"/>
          <w:sz w:val="24"/>
        </w:rPr>
        <w:instrText xml:space="preserve">INCLUDEPICTURE \d "https://timgsa.baidu.com/timg?image&amp;quality=80&amp;size=b9999_10000&amp;sec=1545713560226&amp;di=ec8f1a320f1adc9aa6169a8678a55d3b&amp;imgtype=jpg&amp;src=http://img0.imgtn.bdimg.com/it/u=1807218535,1841251464&amp;fm=214&amp;gp=0.jpg" \* MERGEFORMATINET </w:instrText>
      </w:r>
      <w:r>
        <w:rPr>
          <w:rFonts w:ascii="宋体" w:hAnsi="宋体" w:cs="宋体"/>
          <w:sz w:val="24"/>
        </w:rPr>
        <w:fldChar w:fldCharType="separate"/>
      </w:r>
      <w:r>
        <w:rPr>
          <w:rFonts w:ascii="宋体" w:hAnsi="宋体" w:cs="宋体"/>
          <w:sz w:val="24"/>
        </w:rPr>
        <w:drawing>
          <wp:inline distT="0" distB="0" distL="114300" distR="114300">
            <wp:extent cx="38100" cy="76200"/>
            <wp:effectExtent l="0" t="0" r="0" b="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cstate="print"/>
                    <a:stretch>
                      <a:fillRect/>
                    </a:stretch>
                  </pic:blipFill>
                  <pic:spPr>
                    <a:xfrm>
                      <a:off x="0" y="0"/>
                      <a:ext cx="38100" cy="76200"/>
                    </a:xfrm>
                    <a:prstGeom prst="rect">
                      <a:avLst/>
                    </a:prstGeom>
                    <a:noFill/>
                    <a:ln>
                      <a:noFill/>
                    </a:ln>
                  </pic:spPr>
                </pic:pic>
              </a:graphicData>
            </a:graphic>
          </wp:inline>
        </w:drawing>
      </w:r>
      <w:r>
        <w:rPr>
          <w:rFonts w:ascii="宋体" w:hAnsi="宋体" w:cs="宋体"/>
          <w:sz w:val="24"/>
        </w:rPr>
        <w:fldChar w:fldCharType="end"/>
      </w:r>
    </w:p>
    <w:p>
      <w:pPr>
        <w:spacing w:line="360" w:lineRule="auto"/>
        <w:jc w:val="center"/>
        <w:rPr>
          <w:rFonts w:ascii="宋体" w:hAnsi="宋体" w:cs="宋体"/>
          <w:sz w:val="24"/>
        </w:rPr>
      </w:pPr>
      <w:r>
        <w:rPr>
          <w:rFonts w:ascii="宋体" w:hAnsi="宋体" w:cs="宋体"/>
          <w:sz w:val="24"/>
        </w:rPr>
        <w:fldChar w:fldCharType="begin"/>
      </w:r>
      <w:r>
        <w:rPr>
          <w:rFonts w:ascii="宋体" w:hAnsi="宋体" w:cs="宋体"/>
          <w:sz w:val="24"/>
        </w:rPr>
        <w:instrText xml:space="preserve">INCLUDEPICTURE \d "https://timgsa.baidu.com/timg?image&amp;quality=80&amp;size=b9999_10000&amp;sec=1545713560226&amp;di=ec8f1a320f1adc9aa6169a8678a55d3b&amp;imgtype=jpg&amp;src=http://img0.imgtn.bdimg.com/it/u=1807218535,1841251464&amp;fm=214&amp;gp=0.jpg" \* MERGEFORMATINET </w:instrText>
      </w:r>
      <w:r>
        <w:rPr>
          <w:rFonts w:ascii="宋体" w:hAnsi="宋体" w:cs="宋体"/>
          <w:sz w:val="24"/>
        </w:rPr>
        <w:fldChar w:fldCharType="separate"/>
      </w:r>
      <w:r>
        <w:rPr>
          <w:rFonts w:ascii="宋体" w:hAnsi="宋体" w:cs="宋体"/>
          <w:sz w:val="24"/>
        </w:rPr>
        <w:drawing>
          <wp:inline distT="0" distB="0" distL="114300" distR="114300">
            <wp:extent cx="38100" cy="76200"/>
            <wp:effectExtent l="0" t="0" r="0" b="0"/>
            <wp:docPr id="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6"/>
                    <pic:cNvPicPr>
                      <a:picLocks noChangeAspect="1"/>
                    </pic:cNvPicPr>
                  </pic:nvPicPr>
                  <pic:blipFill>
                    <a:blip r:embed="rId8" cstate="print"/>
                    <a:stretch>
                      <a:fillRect/>
                    </a:stretch>
                  </pic:blipFill>
                  <pic:spPr>
                    <a:xfrm>
                      <a:off x="0" y="0"/>
                      <a:ext cx="38100" cy="76200"/>
                    </a:xfrm>
                    <a:prstGeom prst="rect">
                      <a:avLst/>
                    </a:prstGeom>
                    <a:noFill/>
                    <a:ln>
                      <a:noFill/>
                    </a:ln>
                  </pic:spPr>
                </pic:pic>
              </a:graphicData>
            </a:graphic>
          </wp:inline>
        </w:drawing>
      </w:r>
      <w:r>
        <w:rPr>
          <w:rFonts w:ascii="宋体" w:hAnsi="宋体" w:cs="宋体"/>
          <w:sz w:val="24"/>
        </w:rPr>
        <w:fldChar w:fldCharType="end"/>
      </w:r>
      <w:r>
        <w:drawing>
          <wp:inline distT="0" distB="0" distL="114300" distR="114300">
            <wp:extent cx="6123305" cy="2819400"/>
            <wp:effectExtent l="0" t="0" r="10795"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9" cstate="print"/>
                    <a:stretch>
                      <a:fillRect/>
                    </a:stretch>
                  </pic:blipFill>
                  <pic:spPr>
                    <a:xfrm>
                      <a:off x="0" y="0"/>
                      <a:ext cx="6123305" cy="2819400"/>
                    </a:xfrm>
                    <a:prstGeom prst="rect">
                      <a:avLst/>
                    </a:prstGeom>
                    <a:noFill/>
                    <a:ln>
                      <a:noFill/>
                    </a:ln>
                  </pic:spPr>
                </pic:pic>
              </a:graphicData>
            </a:graphic>
          </wp:inline>
        </w:drawing>
      </w:r>
    </w:p>
    <w:p>
      <w:pPr>
        <w:spacing w:line="360" w:lineRule="auto"/>
        <w:jc w:val="center"/>
      </w:pPr>
      <w:r>
        <w:rPr>
          <w:rFonts w:hint="eastAsia"/>
        </w:rPr>
        <w:fldChar w:fldCharType="begin"/>
      </w:r>
      <w:r>
        <w:rPr>
          <w:rFonts w:hint="eastAsia"/>
        </w:rPr>
        <w:instrText xml:space="preserve">INCLUDEPICTURE \d "https://timgsa.baidu.com/timg?image&amp;quality=80&amp;size=b9999_10000&amp;sec=1545713560226&amp;di=ec8f1a320f1adc9aa6169a8678a55d3b&amp;imgtype=jpg&amp;src=http://img0.imgtn.bdimg.com/it/u=1807218535,1841251464&amp;fm=214&amp;gp=0.jpg" \* MERGEFORMATINET </w:instrText>
      </w:r>
      <w:r>
        <w:rPr>
          <w:rFonts w:hint="eastAsia"/>
        </w:rPr>
        <w:fldChar w:fldCharType="separate"/>
      </w:r>
      <w:r>
        <w:rPr>
          <w:rFonts w:hint="eastAsia"/>
        </w:rPr>
        <w:drawing>
          <wp:inline distT="0" distB="0" distL="114300" distR="114300">
            <wp:extent cx="38100" cy="76200"/>
            <wp:effectExtent l="0" t="0" r="0" b="0"/>
            <wp:docPr id="6"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56"/>
                    <pic:cNvPicPr>
                      <a:picLocks noChangeAspect="1"/>
                    </pic:cNvPicPr>
                  </pic:nvPicPr>
                  <pic:blipFill>
                    <a:blip r:embed="rId8" cstate="print"/>
                    <a:stretch>
                      <a:fillRect/>
                    </a:stretch>
                  </pic:blipFill>
                  <pic:spPr>
                    <a:xfrm>
                      <a:off x="0" y="0"/>
                      <a:ext cx="38100" cy="76200"/>
                    </a:xfrm>
                    <a:prstGeom prst="rect">
                      <a:avLst/>
                    </a:prstGeom>
                    <a:noFill/>
                    <a:ln>
                      <a:noFill/>
                    </a:ln>
                  </pic:spPr>
                </pic:pic>
              </a:graphicData>
            </a:graphic>
          </wp:inline>
        </w:drawing>
      </w:r>
      <w:r>
        <w:rPr>
          <w:rFonts w:hint="eastAsia"/>
        </w:rPr>
        <w:fldChar w:fldCharType="end"/>
      </w:r>
    </w:p>
    <w:p>
      <w:pPr>
        <w:spacing w:line="360" w:lineRule="auto"/>
        <w:jc w:val="center"/>
        <w:rPr>
          <w:rFonts w:ascii="宋体" w:hAnsi="宋体" w:cs="宋体"/>
          <w:sz w:val="32"/>
          <w:szCs w:val="40"/>
        </w:rPr>
      </w:pPr>
      <w:r>
        <w:rPr>
          <w:rFonts w:hint="eastAsia" w:ascii="黑体" w:hAnsi="黑体" w:eastAsia="黑体" w:cs="黑体"/>
          <w:b/>
          <w:bCs/>
          <w:sz w:val="36"/>
          <w:szCs w:val="44"/>
        </w:rPr>
        <w:t>2019届毕业生就业质量年度报告</w:t>
      </w:r>
    </w:p>
    <w:p>
      <w:pPr>
        <w:spacing w:line="360" w:lineRule="auto"/>
        <w:rPr>
          <w:rFonts w:ascii="宋体" w:hAnsi="宋体" w:cs="宋体"/>
          <w:sz w:val="28"/>
          <w:szCs w:val="36"/>
        </w:rPr>
      </w:pPr>
    </w:p>
    <w:p>
      <w:pPr>
        <w:spacing w:line="360" w:lineRule="auto"/>
        <w:rPr>
          <w:rFonts w:ascii="宋体" w:hAnsi="宋体" w:cs="宋体"/>
          <w:sz w:val="28"/>
          <w:szCs w:val="36"/>
        </w:rPr>
      </w:pPr>
    </w:p>
    <w:p>
      <w:pPr>
        <w:spacing w:line="360" w:lineRule="auto"/>
        <w:rPr>
          <w:rFonts w:ascii="宋体" w:hAnsi="宋体" w:cs="宋体"/>
          <w:sz w:val="28"/>
          <w:szCs w:val="36"/>
        </w:rPr>
      </w:pPr>
    </w:p>
    <w:p>
      <w:pPr>
        <w:spacing w:line="360" w:lineRule="auto"/>
        <w:jc w:val="center"/>
        <w:rPr>
          <w:rFonts w:ascii="宋体" w:hAnsi="宋体" w:cs="宋体"/>
          <w:b/>
          <w:bCs/>
          <w:sz w:val="28"/>
          <w:szCs w:val="36"/>
        </w:rPr>
      </w:pPr>
    </w:p>
    <w:p>
      <w:pPr>
        <w:spacing w:line="360" w:lineRule="auto"/>
        <w:jc w:val="center"/>
        <w:rPr>
          <w:rFonts w:ascii="宋体" w:hAnsi="宋体" w:cs="宋体"/>
          <w:b/>
          <w:bCs/>
          <w:sz w:val="28"/>
          <w:szCs w:val="36"/>
        </w:rPr>
        <w:sectPr>
          <w:headerReference r:id="rId3" w:type="default"/>
          <w:pgSz w:w="11910" w:h="16160"/>
          <w:pgMar w:top="1080" w:right="1060" w:bottom="800" w:left="1200" w:header="800" w:footer="609" w:gutter="0"/>
          <w:pgNumType w:start="1"/>
          <w:cols w:space="720" w:num="1"/>
        </w:sectPr>
      </w:pPr>
      <w:r>
        <w:rPr>
          <w:rFonts w:hint="eastAsia" w:ascii="黑体" w:hAnsi="黑体" w:eastAsia="黑体" w:cs="黑体"/>
          <w:b/>
          <w:bCs/>
          <w:sz w:val="36"/>
          <w:szCs w:val="44"/>
        </w:rPr>
        <w:t>2019年12月</w:t>
      </w:r>
    </w:p>
    <w:p>
      <w:pPr>
        <w:spacing w:line="360" w:lineRule="auto"/>
        <w:jc w:val="left"/>
        <w:rPr>
          <w:rFonts w:ascii="宋体" w:hAnsi="宋体" w:cs="宋体"/>
          <w:b/>
          <w:bCs/>
          <w:sz w:val="28"/>
          <w:szCs w:val="36"/>
        </w:rPr>
      </w:pPr>
      <w:r>
        <w:rPr>
          <w:rFonts w:ascii="Times New Roman"/>
          <w:sz w:val="20"/>
        </w:rPr>
        <w:pict>
          <v:shape id="_x0000_s1032" o:spid="_x0000_s1032" o:spt="202" type="#_x0000_t202" style="height:34pt;width:416.05pt;" fillcolor="#990000" filled="t" stroked="f" coordsize="21600,21600">
            <v:path/>
            <v:fill on="t" focussize="0,0"/>
            <v:stroke on="f" weight="0.48pt" joinstyle="miter"/>
            <v:imagedata o:title=""/>
            <o:lock v:ext="edit"/>
            <v:textbox inset="0mm,0mm,0mm,0mm">
              <w:txbxContent>
                <w:p>
                  <w:pPr>
                    <w:spacing w:line="360" w:lineRule="auto"/>
                    <w:jc w:val="center"/>
                    <w:rPr>
                      <w:rFonts w:ascii="黑体" w:eastAsia="黑体"/>
                      <w:b/>
                      <w:color w:val="FFFFFF"/>
                      <w:sz w:val="32"/>
                    </w:rPr>
                  </w:pPr>
                  <w:r>
                    <w:rPr>
                      <w:rFonts w:hint="eastAsia" w:ascii="黑体" w:eastAsia="黑体"/>
                      <w:b/>
                      <w:color w:val="FFFFFF"/>
                      <w:sz w:val="32"/>
                    </w:rPr>
                    <w:t>目 录</w:t>
                  </w:r>
                </w:p>
              </w:txbxContent>
            </v:textbox>
            <w10:wrap type="none"/>
            <w10:anchorlock/>
          </v:shape>
        </w:pict>
      </w:r>
    </w:p>
    <w:p>
      <w:pPr>
        <w:spacing w:line="360" w:lineRule="auto"/>
        <w:rPr>
          <w:rFonts w:ascii="宋体" w:hAnsi="宋体" w:cs="宋体"/>
          <w:b/>
          <w:bCs/>
          <w:sz w:val="28"/>
          <w:szCs w:val="36"/>
        </w:rPr>
      </w:pPr>
    </w:p>
    <w:p>
      <w:pPr>
        <w:numPr>
          <w:ilvl w:val="0"/>
          <w:numId w:val="1"/>
        </w:numPr>
        <w:spacing w:line="360" w:lineRule="auto"/>
        <w:rPr>
          <w:rFonts w:ascii="宋体" w:hAnsi="宋体" w:cs="宋体"/>
          <w:b/>
          <w:bCs/>
          <w:sz w:val="28"/>
          <w:szCs w:val="36"/>
        </w:rPr>
      </w:pPr>
      <w:r>
        <w:rPr>
          <w:rFonts w:hint="eastAsia" w:ascii="宋体" w:hAnsi="宋体" w:cs="宋体"/>
          <w:b/>
          <w:bCs/>
          <w:sz w:val="28"/>
          <w:szCs w:val="36"/>
        </w:rPr>
        <w:t xml:space="preserve"> 毕业生就业基本情况</w:t>
      </w:r>
    </w:p>
    <w:p>
      <w:pPr>
        <w:pStyle w:val="6"/>
        <w:tabs>
          <w:tab w:val="right" w:leader="dot" w:pos="8306"/>
        </w:tabs>
      </w:pPr>
      <w:r>
        <w:rPr>
          <w:color w:val="333333"/>
          <w:shd w:val="clear" w:color="auto" w:fill="FFFFFF"/>
        </w:rPr>
        <w:fldChar w:fldCharType="begin"/>
      </w:r>
      <w:r>
        <w:rPr>
          <w:color w:val="333333"/>
          <w:shd w:val="clear" w:color="auto" w:fill="FFFFFF"/>
        </w:rPr>
        <w:instrText xml:space="preserve">TOC \o "1-3" \h \u </w:instrText>
      </w:r>
      <w:r>
        <w:rPr>
          <w:color w:val="333333"/>
          <w:shd w:val="clear" w:color="auto" w:fill="FFFFFF"/>
        </w:rPr>
        <w:fldChar w:fldCharType="separate"/>
      </w:r>
      <w:r>
        <w:fldChar w:fldCharType="begin"/>
      </w:r>
      <w:r>
        <w:instrText xml:space="preserve"> HYPERLINK \l "_Toc24607" </w:instrText>
      </w:r>
      <w:r>
        <w:fldChar w:fldCharType="separate"/>
      </w:r>
      <w:r>
        <w:rPr>
          <w:rFonts w:hint="eastAsia" w:ascii="黑体" w:hAnsi="黑体" w:eastAsia="黑体" w:cs="黑体"/>
          <w:szCs w:val="30"/>
        </w:rPr>
        <w:t>一、 毕业生的规模和结构</w:t>
      </w:r>
      <w:r>
        <w:tab/>
      </w:r>
      <w:r>
        <w:fldChar w:fldCharType="begin"/>
      </w:r>
      <w:r>
        <w:instrText xml:space="preserve"> PAGEREF _Toc24607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"_Toc31431" </w:instrText>
      </w:r>
      <w:r>
        <w:fldChar w:fldCharType="separate"/>
      </w:r>
      <w:r>
        <w:rPr>
          <w:rFonts w:hint="eastAsia" w:ascii="黑体" w:hAnsi="黑体" w:eastAsia="黑体" w:cs="黑体"/>
          <w:bCs/>
          <w:szCs w:val="36"/>
        </w:rPr>
        <w:t>（一） 毕业生总体规模</w:t>
      </w:r>
      <w:r>
        <w:tab/>
      </w:r>
      <w:r>
        <w:fldChar w:fldCharType="begin"/>
      </w:r>
      <w:r>
        <w:instrText xml:space="preserve"> PAGEREF _Toc31431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"_Toc7130" </w:instrText>
      </w:r>
      <w:r>
        <w:fldChar w:fldCharType="separate"/>
      </w:r>
      <w:r>
        <w:rPr>
          <w:rFonts w:hint="eastAsia" w:ascii="黑体" w:hAnsi="黑体" w:eastAsia="黑体" w:cs="黑体"/>
          <w:bCs/>
          <w:szCs w:val="36"/>
        </w:rPr>
        <w:t>（二） 各二级学院毕业生的规模</w:t>
      </w:r>
      <w:r>
        <w:tab/>
      </w:r>
      <w:r>
        <w:fldChar w:fldCharType="begin"/>
      </w:r>
      <w:r>
        <w:instrText xml:space="preserve"> PAGEREF _Toc7130 </w:instrText>
      </w:r>
      <w:r>
        <w:fldChar w:fldCharType="separate"/>
      </w:r>
      <w:r>
        <w:t>1</w:t>
      </w:r>
      <w:r>
        <w:fldChar w:fldCharType="end"/>
      </w:r>
      <w:r>
        <w:fldChar w:fldCharType="end"/>
      </w:r>
    </w:p>
    <w:p>
      <w:pPr>
        <w:pStyle w:val="7"/>
        <w:tabs>
          <w:tab w:val="right" w:leader="dot" w:pos="8306"/>
        </w:tabs>
      </w:pPr>
      <w:r>
        <w:fldChar w:fldCharType="begin"/>
      </w:r>
      <w:r>
        <w:instrText xml:space="preserve"> HYPERLINK \l "_Toc5486" </w:instrText>
      </w:r>
      <w:r>
        <w:fldChar w:fldCharType="separate"/>
      </w:r>
      <w:r>
        <w:rPr>
          <w:rFonts w:hint="eastAsia" w:ascii="黑体" w:hAnsi="黑体" w:eastAsia="黑体" w:cs="黑体"/>
          <w:bCs/>
          <w:szCs w:val="36"/>
        </w:rPr>
        <w:t>（三） 各专业毕业生的规模</w:t>
      </w:r>
      <w:r>
        <w:tab/>
      </w:r>
      <w:r>
        <w:fldChar w:fldCharType="begin"/>
      </w:r>
      <w:r>
        <w:instrText xml:space="preserve"> PAGEREF _Toc5486 </w:instrText>
      </w:r>
      <w:r>
        <w:fldChar w:fldCharType="separate"/>
      </w:r>
      <w:r>
        <w:t>2</w:t>
      </w:r>
      <w:r>
        <w:fldChar w:fldCharType="end"/>
      </w:r>
      <w:r>
        <w:fldChar w:fldCharType="end"/>
      </w:r>
    </w:p>
    <w:p>
      <w:pPr>
        <w:pStyle w:val="7"/>
        <w:tabs>
          <w:tab w:val="right" w:leader="dot" w:pos="8306"/>
        </w:tabs>
      </w:pPr>
      <w:r>
        <w:fldChar w:fldCharType="begin"/>
      </w:r>
      <w:r>
        <w:instrText xml:space="preserve"> HYPERLINK \l "_Toc17015" </w:instrText>
      </w:r>
      <w:r>
        <w:fldChar w:fldCharType="separate"/>
      </w:r>
      <w:r>
        <w:rPr>
          <w:rFonts w:hint="eastAsia" w:ascii="黑体" w:hAnsi="黑体" w:eastAsia="黑体" w:cs="黑体"/>
          <w:bCs/>
          <w:szCs w:val="36"/>
        </w:rPr>
        <w:t>（四） 毕业生性别结构</w:t>
      </w:r>
      <w:r>
        <w:tab/>
      </w:r>
      <w:r>
        <w:fldChar w:fldCharType="begin"/>
      </w:r>
      <w:r>
        <w:instrText xml:space="preserve"> PAGEREF _Toc17015 </w:instrText>
      </w:r>
      <w:r>
        <w:fldChar w:fldCharType="separate"/>
      </w:r>
      <w:r>
        <w:t>4</w:t>
      </w:r>
      <w:r>
        <w:fldChar w:fldCharType="end"/>
      </w:r>
      <w:r>
        <w:fldChar w:fldCharType="end"/>
      </w:r>
    </w:p>
    <w:p>
      <w:pPr>
        <w:pStyle w:val="7"/>
        <w:tabs>
          <w:tab w:val="right" w:leader="dot" w:pos="8306"/>
        </w:tabs>
      </w:pPr>
      <w:r>
        <w:fldChar w:fldCharType="begin"/>
      </w:r>
      <w:r>
        <w:instrText xml:space="preserve"> HYPERLINK \l "_Toc7549" </w:instrText>
      </w:r>
      <w:r>
        <w:fldChar w:fldCharType="separate"/>
      </w:r>
      <w:r>
        <w:rPr>
          <w:rFonts w:hint="eastAsia" w:ascii="黑体" w:hAnsi="黑体" w:eastAsia="黑体" w:cs="黑体"/>
          <w:bCs/>
          <w:szCs w:val="36"/>
        </w:rPr>
        <w:t>（五） 毕业生生源结构</w:t>
      </w:r>
      <w:r>
        <w:tab/>
      </w:r>
      <w:r>
        <w:fldChar w:fldCharType="begin"/>
      </w:r>
      <w:r>
        <w:instrText xml:space="preserve"> PAGEREF _Toc7549 </w:instrText>
      </w:r>
      <w:r>
        <w:fldChar w:fldCharType="separate"/>
      </w:r>
      <w:r>
        <w:t>5</w:t>
      </w:r>
      <w:r>
        <w:fldChar w:fldCharType="end"/>
      </w:r>
      <w:r>
        <w:fldChar w:fldCharType="end"/>
      </w:r>
    </w:p>
    <w:p>
      <w:pPr>
        <w:pStyle w:val="6"/>
        <w:tabs>
          <w:tab w:val="right" w:leader="dot" w:pos="8306"/>
        </w:tabs>
      </w:pPr>
      <w:r>
        <w:fldChar w:fldCharType="begin"/>
      </w:r>
      <w:r>
        <w:instrText xml:space="preserve"> HYPERLINK \l "_Toc6073" </w:instrText>
      </w:r>
      <w:r>
        <w:fldChar w:fldCharType="separate"/>
      </w:r>
      <w:r>
        <w:rPr>
          <w:rFonts w:hint="eastAsia" w:ascii="黑体" w:hAnsi="黑体" w:eastAsia="黑体" w:cs="黑体"/>
          <w:szCs w:val="30"/>
        </w:rPr>
        <w:t>二、 毕业生的就业率和签约率</w:t>
      </w:r>
      <w:r>
        <w:tab/>
      </w:r>
      <w:r>
        <w:fldChar w:fldCharType="begin"/>
      </w:r>
      <w:r>
        <w:instrText xml:space="preserve"> PAGEREF _Toc6073 </w:instrText>
      </w:r>
      <w:r>
        <w:fldChar w:fldCharType="separate"/>
      </w:r>
      <w:r>
        <w:t>7</w:t>
      </w:r>
      <w:r>
        <w:fldChar w:fldCharType="end"/>
      </w:r>
      <w:r>
        <w:fldChar w:fldCharType="end"/>
      </w:r>
    </w:p>
    <w:p>
      <w:pPr>
        <w:pStyle w:val="7"/>
        <w:tabs>
          <w:tab w:val="right" w:leader="dot" w:pos="8306"/>
        </w:tabs>
      </w:pPr>
      <w:r>
        <w:fldChar w:fldCharType="begin"/>
      </w:r>
      <w:r>
        <w:instrText xml:space="preserve"> HYPERLINK \l "_Toc12812" </w:instrText>
      </w:r>
      <w:r>
        <w:fldChar w:fldCharType="separate"/>
      </w:r>
      <w:r>
        <w:rPr>
          <w:rFonts w:hint="eastAsia" w:ascii="黑体" w:hAnsi="黑体" w:eastAsia="黑体" w:cs="黑体"/>
          <w:bCs/>
          <w:szCs w:val="36"/>
        </w:rPr>
        <w:t>（一） 毕业生总体就业率和签约率</w:t>
      </w:r>
      <w:r>
        <w:tab/>
      </w:r>
      <w:r>
        <w:fldChar w:fldCharType="begin"/>
      </w:r>
      <w:r>
        <w:instrText xml:space="preserve"> PAGEREF _Toc12812 </w:instrText>
      </w:r>
      <w:r>
        <w:fldChar w:fldCharType="separate"/>
      </w:r>
      <w:r>
        <w:t>7</w:t>
      </w:r>
      <w:r>
        <w:fldChar w:fldCharType="end"/>
      </w:r>
      <w:r>
        <w:fldChar w:fldCharType="end"/>
      </w:r>
    </w:p>
    <w:p>
      <w:pPr>
        <w:pStyle w:val="7"/>
        <w:tabs>
          <w:tab w:val="right" w:leader="dot" w:pos="8306"/>
        </w:tabs>
      </w:pPr>
      <w:r>
        <w:fldChar w:fldCharType="begin"/>
      </w:r>
      <w:r>
        <w:instrText xml:space="preserve"> HYPERLINK \l "_Toc1840" </w:instrText>
      </w:r>
      <w:r>
        <w:fldChar w:fldCharType="separate"/>
      </w:r>
      <w:r>
        <w:rPr>
          <w:rFonts w:hint="eastAsia" w:ascii="黑体" w:hAnsi="黑体" w:eastAsia="黑体" w:cs="黑体"/>
          <w:bCs/>
          <w:szCs w:val="36"/>
        </w:rPr>
        <w:t>（二） 各二级学院毕业生的就业率和签约率</w:t>
      </w:r>
      <w:r>
        <w:tab/>
      </w:r>
      <w:r>
        <w:fldChar w:fldCharType="begin"/>
      </w:r>
      <w:r>
        <w:instrText xml:space="preserve"> PAGEREF _Toc1840 </w:instrText>
      </w:r>
      <w:r>
        <w:fldChar w:fldCharType="separate"/>
      </w:r>
      <w:r>
        <w:t>8</w:t>
      </w:r>
      <w:r>
        <w:fldChar w:fldCharType="end"/>
      </w:r>
      <w:r>
        <w:fldChar w:fldCharType="end"/>
      </w:r>
    </w:p>
    <w:p>
      <w:pPr>
        <w:pStyle w:val="7"/>
        <w:tabs>
          <w:tab w:val="right" w:leader="dot" w:pos="8306"/>
        </w:tabs>
      </w:pPr>
      <w:r>
        <w:fldChar w:fldCharType="begin"/>
      </w:r>
      <w:r>
        <w:instrText xml:space="preserve"> HYPERLINK \l "_Toc7643" </w:instrText>
      </w:r>
      <w:r>
        <w:fldChar w:fldCharType="separate"/>
      </w:r>
      <w:r>
        <w:rPr>
          <w:rFonts w:hint="eastAsia" w:ascii="黑体" w:hAnsi="黑体" w:eastAsia="黑体" w:cs="黑体"/>
          <w:bCs/>
          <w:szCs w:val="36"/>
        </w:rPr>
        <w:t>（三） 各专业毕业生的就业率和签约率</w:t>
      </w:r>
      <w:r>
        <w:tab/>
      </w:r>
      <w:r>
        <w:fldChar w:fldCharType="begin"/>
      </w:r>
      <w:r>
        <w:instrText xml:space="preserve"> PAGEREF _Toc7643 </w:instrText>
      </w:r>
      <w:r>
        <w:fldChar w:fldCharType="separate"/>
      </w:r>
      <w:r>
        <w:t>9</w:t>
      </w:r>
      <w:r>
        <w:fldChar w:fldCharType="end"/>
      </w:r>
      <w:r>
        <w:fldChar w:fldCharType="end"/>
      </w:r>
    </w:p>
    <w:p>
      <w:pPr>
        <w:pStyle w:val="7"/>
        <w:tabs>
          <w:tab w:val="right" w:leader="dot" w:pos="8306"/>
        </w:tabs>
      </w:pPr>
      <w:r>
        <w:fldChar w:fldCharType="begin"/>
      </w:r>
      <w:r>
        <w:instrText xml:space="preserve"> HYPERLINK \l "_Toc20551" </w:instrText>
      </w:r>
      <w:r>
        <w:fldChar w:fldCharType="separate"/>
      </w:r>
      <w:r>
        <w:rPr>
          <w:rFonts w:hint="eastAsia" w:ascii="黑体" w:hAnsi="黑体" w:eastAsia="黑体" w:cs="黑体"/>
          <w:bCs/>
          <w:szCs w:val="36"/>
        </w:rPr>
        <w:t>（四） 各生源地区毕业生的就业率和签约率</w:t>
      </w:r>
      <w:r>
        <w:tab/>
      </w:r>
      <w:r>
        <w:fldChar w:fldCharType="begin"/>
      </w:r>
      <w:r>
        <w:instrText xml:space="preserve"> PAGEREF _Toc20551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"_Toc27564" </w:instrText>
      </w:r>
      <w:r>
        <w:fldChar w:fldCharType="separate"/>
      </w:r>
      <w:r>
        <w:rPr>
          <w:rFonts w:hint="eastAsia" w:ascii="黑体" w:hAnsi="黑体" w:eastAsia="黑体" w:cs="黑体"/>
          <w:szCs w:val="30"/>
        </w:rPr>
        <w:t>三、 毕业生的毕业去向分析</w:t>
      </w:r>
      <w:r>
        <w:tab/>
      </w:r>
      <w:r>
        <w:fldChar w:fldCharType="begin"/>
      </w:r>
      <w:r>
        <w:instrText xml:space="preserve"> PAGEREF _Toc27564 </w:instrText>
      </w:r>
      <w:r>
        <w:fldChar w:fldCharType="separate"/>
      </w:r>
      <w:r>
        <w:t>20</w:t>
      </w:r>
      <w:r>
        <w:fldChar w:fldCharType="end"/>
      </w:r>
      <w:r>
        <w:fldChar w:fldCharType="end"/>
      </w:r>
    </w:p>
    <w:p>
      <w:pPr>
        <w:pStyle w:val="7"/>
        <w:tabs>
          <w:tab w:val="right" w:leader="dot" w:pos="8306"/>
        </w:tabs>
      </w:pPr>
      <w:r>
        <w:fldChar w:fldCharType="begin"/>
      </w:r>
      <w:r>
        <w:instrText xml:space="preserve"> HYPERLINK \l "_Toc32687" </w:instrText>
      </w:r>
      <w:r>
        <w:fldChar w:fldCharType="separate"/>
      </w:r>
      <w:r>
        <w:rPr>
          <w:rFonts w:hint="eastAsia" w:ascii="黑体" w:hAnsi="黑体" w:eastAsia="黑体" w:cs="黑体"/>
          <w:bCs/>
          <w:lang w:val="en-US"/>
        </w:rPr>
        <w:t>（一） 毕业生毕业去向分布</w:t>
      </w:r>
      <w:r>
        <w:tab/>
      </w:r>
      <w:r>
        <w:fldChar w:fldCharType="begin"/>
      </w:r>
      <w:r>
        <w:instrText xml:space="preserve"> PAGEREF _Toc32687 </w:instrText>
      </w:r>
      <w:r>
        <w:fldChar w:fldCharType="separate"/>
      </w:r>
      <w:r>
        <w:t>20</w:t>
      </w:r>
      <w:r>
        <w:fldChar w:fldCharType="end"/>
      </w:r>
      <w:r>
        <w:fldChar w:fldCharType="end"/>
      </w:r>
    </w:p>
    <w:p>
      <w:pPr>
        <w:pStyle w:val="7"/>
        <w:tabs>
          <w:tab w:val="right" w:leader="dot" w:pos="8306"/>
        </w:tabs>
      </w:pPr>
      <w:r>
        <w:fldChar w:fldCharType="begin"/>
      </w:r>
      <w:r>
        <w:instrText xml:space="preserve"> HYPERLINK \l "_Toc22143" </w:instrText>
      </w:r>
      <w:r>
        <w:fldChar w:fldCharType="separate"/>
      </w:r>
      <w:r>
        <w:rPr>
          <w:rFonts w:hint="eastAsia" w:ascii="黑体" w:hAnsi="黑体" w:eastAsia="黑体" w:cs="黑体"/>
          <w:bCs/>
          <w:lang w:val="en-US"/>
        </w:rPr>
        <w:t>（二） 各二级学院毕业生的毕业去向分布</w:t>
      </w:r>
      <w:r>
        <w:tab/>
      </w:r>
      <w:r>
        <w:fldChar w:fldCharType="begin"/>
      </w:r>
      <w:r>
        <w:instrText xml:space="preserve"> PAGEREF _Toc22143 </w:instrText>
      </w:r>
      <w:r>
        <w:fldChar w:fldCharType="separate"/>
      </w:r>
      <w:r>
        <w:t>21</w:t>
      </w:r>
      <w:r>
        <w:fldChar w:fldCharType="end"/>
      </w:r>
      <w:r>
        <w:fldChar w:fldCharType="end"/>
      </w:r>
    </w:p>
    <w:p>
      <w:pPr>
        <w:pStyle w:val="7"/>
        <w:tabs>
          <w:tab w:val="right" w:leader="dot" w:pos="8306"/>
        </w:tabs>
      </w:pPr>
      <w:r>
        <w:fldChar w:fldCharType="begin"/>
      </w:r>
      <w:r>
        <w:instrText xml:space="preserve"> HYPERLINK \l "_Toc2358" </w:instrText>
      </w:r>
      <w:r>
        <w:fldChar w:fldCharType="separate"/>
      </w:r>
      <w:r>
        <w:rPr>
          <w:rFonts w:hint="eastAsia" w:ascii="黑体" w:hAnsi="黑体" w:eastAsia="黑体" w:cs="黑体"/>
          <w:bCs/>
          <w:lang w:val="en-US"/>
        </w:rPr>
        <w:t>（三） 各专业毕业生的毕业去向分布</w:t>
      </w:r>
      <w:r>
        <w:tab/>
      </w:r>
      <w:r>
        <w:fldChar w:fldCharType="begin"/>
      </w:r>
      <w:r>
        <w:instrText xml:space="preserve"> PAGEREF _Toc2358 </w:instrText>
      </w:r>
      <w:r>
        <w:fldChar w:fldCharType="separate"/>
      </w:r>
      <w:r>
        <w:t>22</w:t>
      </w:r>
      <w:r>
        <w:fldChar w:fldCharType="end"/>
      </w:r>
      <w:r>
        <w:fldChar w:fldCharType="end"/>
      </w:r>
    </w:p>
    <w:p>
      <w:pPr>
        <w:pStyle w:val="6"/>
        <w:tabs>
          <w:tab w:val="right" w:leader="dot" w:pos="8306"/>
        </w:tabs>
      </w:pPr>
      <w:r>
        <w:fldChar w:fldCharType="begin"/>
      </w:r>
      <w:r>
        <w:instrText xml:space="preserve"> HYPERLINK \l "_Toc15500" </w:instrText>
      </w:r>
      <w:r>
        <w:fldChar w:fldCharType="separate"/>
      </w:r>
      <w:r>
        <w:rPr>
          <w:rFonts w:hint="eastAsia" w:ascii="黑体" w:hAnsi="黑体" w:eastAsia="黑体" w:cs="黑体"/>
          <w:szCs w:val="30"/>
        </w:rPr>
        <w:t>四、 毕业生就业流向</w:t>
      </w:r>
      <w:r>
        <w:tab/>
      </w:r>
      <w:r>
        <w:fldChar w:fldCharType="begin"/>
      </w:r>
      <w:r>
        <w:instrText xml:space="preserve"> PAGEREF _Toc15500 </w:instrText>
      </w:r>
      <w:r>
        <w:fldChar w:fldCharType="separate"/>
      </w:r>
      <w:r>
        <w:t>24</w:t>
      </w:r>
      <w:r>
        <w:fldChar w:fldCharType="end"/>
      </w:r>
      <w:r>
        <w:fldChar w:fldCharType="end"/>
      </w:r>
    </w:p>
    <w:p>
      <w:pPr>
        <w:pStyle w:val="7"/>
        <w:tabs>
          <w:tab w:val="right" w:leader="dot" w:pos="8306"/>
        </w:tabs>
      </w:pPr>
      <w:r>
        <w:fldChar w:fldCharType="begin"/>
      </w:r>
      <w:r>
        <w:instrText xml:space="preserve"> HYPERLINK \l "_Toc11598" </w:instrText>
      </w:r>
      <w:r>
        <w:fldChar w:fldCharType="separate"/>
      </w:r>
      <w:r>
        <w:rPr>
          <w:rFonts w:hint="eastAsia" w:ascii="黑体" w:hAnsi="黑体" w:eastAsia="黑体" w:cs="黑体"/>
          <w:bCs/>
          <w:lang w:val="en-US"/>
        </w:rPr>
        <w:t>（一） 就业地区分布</w:t>
      </w:r>
      <w:r>
        <w:tab/>
      </w:r>
      <w:r>
        <w:fldChar w:fldCharType="begin"/>
      </w:r>
      <w:r>
        <w:instrText xml:space="preserve"> PAGEREF _Toc11598 </w:instrText>
      </w:r>
      <w:r>
        <w:fldChar w:fldCharType="separate"/>
      </w:r>
      <w:r>
        <w:t>24</w:t>
      </w:r>
      <w:r>
        <w:fldChar w:fldCharType="end"/>
      </w:r>
      <w:r>
        <w:fldChar w:fldCharType="end"/>
      </w:r>
    </w:p>
    <w:p>
      <w:pPr>
        <w:pStyle w:val="7"/>
        <w:tabs>
          <w:tab w:val="right" w:leader="dot" w:pos="8306"/>
        </w:tabs>
      </w:pPr>
      <w:r>
        <w:fldChar w:fldCharType="begin"/>
      </w:r>
      <w:r>
        <w:instrText xml:space="preserve"> HYPERLINK \l "_Toc13101" </w:instrText>
      </w:r>
      <w:r>
        <w:fldChar w:fldCharType="separate"/>
      </w:r>
      <w:r>
        <w:rPr>
          <w:rFonts w:hint="eastAsia" w:ascii="黑体" w:hAnsi="黑体" w:eastAsia="黑体" w:cs="黑体"/>
          <w:bCs/>
          <w:lang w:val="en-US"/>
        </w:rPr>
        <w:t>（二） 就业单位性质分布</w:t>
      </w:r>
      <w:r>
        <w:tab/>
      </w:r>
      <w:r>
        <w:fldChar w:fldCharType="begin"/>
      </w:r>
      <w:r>
        <w:instrText xml:space="preserve"> PAGEREF _Toc13101 </w:instrText>
      </w:r>
      <w:r>
        <w:fldChar w:fldCharType="separate"/>
      </w:r>
      <w:r>
        <w:t>25</w:t>
      </w:r>
      <w:r>
        <w:fldChar w:fldCharType="end"/>
      </w:r>
      <w:r>
        <w:fldChar w:fldCharType="end"/>
      </w:r>
    </w:p>
    <w:p>
      <w:pPr>
        <w:pStyle w:val="6"/>
        <w:tabs>
          <w:tab w:val="right" w:leader="dot" w:pos="8306"/>
        </w:tabs>
      </w:pPr>
      <w:r>
        <w:fldChar w:fldCharType="begin"/>
      </w:r>
      <w:r>
        <w:instrText xml:space="preserve"> HYPERLINK \l "_Toc28621" </w:instrText>
      </w:r>
      <w:r>
        <w:fldChar w:fldCharType="separate"/>
      </w:r>
      <w:r>
        <w:rPr>
          <w:rFonts w:hint="eastAsia" w:ascii="黑体" w:hAnsi="黑体" w:eastAsia="黑体" w:cs="黑体"/>
          <w:szCs w:val="30"/>
        </w:rPr>
        <w:t>五、 毕业生继续深造情况</w:t>
      </w:r>
      <w:r>
        <w:tab/>
      </w:r>
      <w:r>
        <w:fldChar w:fldCharType="begin"/>
      </w:r>
      <w:r>
        <w:instrText xml:space="preserve"> PAGEREF _Toc28621 </w:instrText>
      </w:r>
      <w:r>
        <w:fldChar w:fldCharType="separate"/>
      </w:r>
      <w:r>
        <w:t>26</w:t>
      </w:r>
      <w:r>
        <w:fldChar w:fldCharType="end"/>
      </w:r>
      <w:r>
        <w:fldChar w:fldCharType="end"/>
      </w:r>
    </w:p>
    <w:p>
      <w:pPr>
        <w:pStyle w:val="7"/>
        <w:tabs>
          <w:tab w:val="right" w:leader="dot" w:pos="8306"/>
        </w:tabs>
      </w:pPr>
      <w:r>
        <w:fldChar w:fldCharType="begin"/>
      </w:r>
      <w:r>
        <w:instrText xml:space="preserve"> HYPERLINK \l "_Toc2852" </w:instrText>
      </w:r>
      <w:r>
        <w:fldChar w:fldCharType="separate"/>
      </w:r>
      <w:r>
        <w:rPr>
          <w:rFonts w:hint="eastAsia" w:ascii="黑体" w:hAnsi="黑体" w:eastAsia="黑体" w:cs="黑体"/>
          <w:bCs/>
          <w:lang w:val="en-US"/>
        </w:rPr>
        <w:t>（一） 各二级学院毕业生全日制专升本录取情况分析</w:t>
      </w:r>
      <w:r>
        <w:tab/>
      </w:r>
      <w:r>
        <w:fldChar w:fldCharType="begin"/>
      </w:r>
      <w:r>
        <w:instrText xml:space="preserve"> PAGEREF _Toc2852 </w:instrText>
      </w:r>
      <w:r>
        <w:fldChar w:fldCharType="separate"/>
      </w:r>
      <w:r>
        <w:t>26</w:t>
      </w:r>
      <w:r>
        <w:fldChar w:fldCharType="end"/>
      </w:r>
      <w:r>
        <w:fldChar w:fldCharType="end"/>
      </w:r>
    </w:p>
    <w:p>
      <w:pPr>
        <w:pStyle w:val="7"/>
        <w:tabs>
          <w:tab w:val="right" w:leader="dot" w:pos="8306"/>
        </w:tabs>
      </w:pPr>
      <w:r>
        <w:fldChar w:fldCharType="begin"/>
      </w:r>
      <w:r>
        <w:instrText xml:space="preserve"> HYPERLINK \l "_Toc20910" </w:instrText>
      </w:r>
      <w:r>
        <w:fldChar w:fldCharType="separate"/>
      </w:r>
      <w:r>
        <w:rPr>
          <w:rFonts w:hint="eastAsia" w:ascii="黑体" w:hAnsi="黑体" w:eastAsia="黑体" w:cs="黑体"/>
          <w:bCs/>
          <w:lang w:val="en-US"/>
        </w:rPr>
        <w:t>（二） 毕业生全日制专升本录取情况分析</w:t>
      </w:r>
      <w:r>
        <w:tab/>
      </w:r>
      <w:r>
        <w:fldChar w:fldCharType="begin"/>
      </w:r>
      <w:r>
        <w:instrText xml:space="preserve"> PAGEREF _Toc20910 </w:instrText>
      </w:r>
      <w:r>
        <w:fldChar w:fldCharType="separate"/>
      </w:r>
      <w:r>
        <w:t>27</w:t>
      </w:r>
      <w:r>
        <w:fldChar w:fldCharType="end"/>
      </w:r>
      <w:r>
        <w:fldChar w:fldCharType="end"/>
      </w:r>
    </w:p>
    <w:p>
      <w:pPr>
        <w:pStyle w:val="6"/>
        <w:tabs>
          <w:tab w:val="right" w:leader="dot" w:pos="8306"/>
        </w:tabs>
      </w:pPr>
      <w:r>
        <w:fldChar w:fldCharType="begin"/>
      </w:r>
      <w:r>
        <w:instrText xml:space="preserve"> HYPERLINK \l "_Toc20431" </w:instrText>
      </w:r>
      <w:r>
        <w:fldChar w:fldCharType="separate"/>
      </w:r>
      <w:r>
        <w:rPr>
          <w:rFonts w:hint="eastAsia" w:ascii="黑体" w:hAnsi="黑体" w:eastAsia="黑体" w:cs="黑体"/>
          <w:szCs w:val="30"/>
        </w:rPr>
        <w:t>六、 毕业生考取上海公安警察学员的情况</w:t>
      </w:r>
      <w:r>
        <w:tab/>
      </w:r>
      <w:r>
        <w:fldChar w:fldCharType="begin"/>
      </w:r>
      <w:r>
        <w:instrText xml:space="preserve"> PAGEREF _Toc20431 </w:instrText>
      </w:r>
      <w:r>
        <w:fldChar w:fldCharType="separate"/>
      </w:r>
      <w:r>
        <w:t>28</w:t>
      </w:r>
      <w:r>
        <w:fldChar w:fldCharType="end"/>
      </w:r>
      <w:r>
        <w:fldChar w:fldCharType="end"/>
      </w:r>
    </w:p>
    <w:p>
      <w:pPr>
        <w:pStyle w:val="6"/>
        <w:tabs>
          <w:tab w:val="right" w:leader="dot" w:pos="8306"/>
        </w:tabs>
        <w:rPr>
          <w:color w:val="333333"/>
          <w:shd w:val="clear" w:color="auto" w:fill="FFFFFF"/>
        </w:rPr>
      </w:pPr>
      <w:r>
        <w:fldChar w:fldCharType="begin"/>
      </w:r>
      <w:r>
        <w:instrText xml:space="preserve"> HYPERLINK \l "_Toc19933" </w:instrText>
      </w:r>
      <w:r>
        <w:fldChar w:fldCharType="separate"/>
      </w:r>
      <w:r>
        <w:rPr>
          <w:rFonts w:hint="eastAsia" w:ascii="黑体" w:hAnsi="黑体" w:eastAsia="黑体" w:cs="黑体"/>
          <w:szCs w:val="30"/>
          <w:lang w:val="en-US"/>
        </w:rPr>
        <w:t>七、 录用2019届毕业生人数较多的用人单位</w:t>
      </w:r>
      <w:r>
        <w:tab/>
      </w:r>
      <w:r>
        <w:fldChar w:fldCharType="begin"/>
      </w:r>
      <w:r>
        <w:instrText xml:space="preserve"> PAGEREF _Toc19933 </w:instrText>
      </w:r>
      <w:r>
        <w:fldChar w:fldCharType="separate"/>
      </w:r>
      <w:r>
        <w:t>28</w:t>
      </w:r>
      <w:r>
        <w:fldChar w:fldCharType="end"/>
      </w:r>
      <w:r>
        <w:fldChar w:fldCharType="end"/>
      </w:r>
    </w:p>
    <w:p>
      <w:pPr>
        <w:rPr>
          <w:rFonts w:ascii="宋体" w:hAnsi="宋体" w:cs="宋体"/>
          <w:color w:val="333333"/>
          <w:shd w:val="clear" w:color="auto" w:fill="FFFFFF"/>
        </w:rPr>
      </w:pPr>
    </w:p>
    <w:p>
      <w:pPr>
        <w:rPr>
          <w:rFonts w:ascii="宋体" w:hAnsi="宋体" w:cs="宋体"/>
          <w:color w:val="333333"/>
          <w:shd w:val="clear" w:color="auto" w:fill="FFFFFF"/>
        </w:rPr>
      </w:pPr>
      <w:r>
        <w:rPr>
          <w:rFonts w:hint="eastAsia" w:ascii="宋体" w:hAnsi="宋体" w:cs="宋体"/>
          <w:b/>
          <w:bCs/>
          <w:sz w:val="28"/>
          <w:szCs w:val="36"/>
        </w:rPr>
        <w:t>第二部分  毕业生就业质量分析</w:t>
      </w:r>
    </w:p>
    <w:p>
      <w:pPr>
        <w:pStyle w:val="6"/>
        <w:tabs>
          <w:tab w:val="right" w:leader="dot" w:pos="8306"/>
        </w:tabs>
      </w:pPr>
      <w:r>
        <w:fldChar w:fldCharType="begin"/>
      </w:r>
      <w:r>
        <w:instrText xml:space="preserve"> HYPERLINK \l "_Toc24913" </w:instrText>
      </w:r>
      <w:r>
        <w:fldChar w:fldCharType="separate"/>
      </w:r>
      <w:r>
        <w:rPr>
          <w:rFonts w:ascii="黑体" w:hAnsi="黑体" w:eastAsia="黑体" w:cs="黑体"/>
          <w:szCs w:val="30"/>
        </w:rPr>
        <w:t xml:space="preserve">一、 </w:t>
      </w:r>
      <w:r>
        <w:rPr>
          <w:rFonts w:hint="eastAsia" w:ascii="黑体" w:hAnsi="黑体" w:eastAsia="黑体" w:cs="黑体"/>
          <w:szCs w:val="30"/>
        </w:rPr>
        <w:t>毕业生从事工作与所学专业对口度</w:t>
      </w:r>
      <w:r>
        <w:tab/>
      </w:r>
      <w:r>
        <w:fldChar w:fldCharType="begin"/>
      </w:r>
      <w:r>
        <w:instrText xml:space="preserve"> PAGEREF _Toc24913 </w:instrText>
      </w:r>
      <w:r>
        <w:fldChar w:fldCharType="separate"/>
      </w:r>
      <w:r>
        <w:t>30</w:t>
      </w:r>
      <w:r>
        <w:fldChar w:fldCharType="end"/>
      </w:r>
      <w:r>
        <w:fldChar w:fldCharType="end"/>
      </w:r>
    </w:p>
    <w:p>
      <w:pPr>
        <w:pStyle w:val="7"/>
        <w:tabs>
          <w:tab w:val="right" w:leader="dot" w:pos="8306"/>
        </w:tabs>
      </w:pPr>
      <w:r>
        <w:fldChar w:fldCharType="begin"/>
      </w:r>
      <w:r>
        <w:instrText xml:space="preserve"> HYPERLINK \l "_Toc22863" </w:instrText>
      </w:r>
      <w:r>
        <w:fldChar w:fldCharType="separate"/>
      </w:r>
      <w:r>
        <w:rPr>
          <w:rFonts w:hint="eastAsia" w:ascii="黑体" w:hAnsi="黑体" w:eastAsia="黑体" w:cs="黑体"/>
          <w:bCs/>
          <w:lang w:val="en-US"/>
        </w:rPr>
        <w:t>（一） 毕业生从事工作与所学专业的对口情况</w:t>
      </w:r>
      <w:r>
        <w:tab/>
      </w:r>
      <w:r>
        <w:fldChar w:fldCharType="begin"/>
      </w:r>
      <w:r>
        <w:instrText xml:space="preserve"> PAGEREF _Toc22863 </w:instrText>
      </w:r>
      <w:r>
        <w:fldChar w:fldCharType="separate"/>
      </w:r>
      <w:r>
        <w:t>30</w:t>
      </w:r>
      <w:r>
        <w:fldChar w:fldCharType="end"/>
      </w:r>
      <w:r>
        <w:fldChar w:fldCharType="end"/>
      </w:r>
    </w:p>
    <w:p>
      <w:pPr>
        <w:pStyle w:val="7"/>
        <w:tabs>
          <w:tab w:val="right" w:leader="dot" w:pos="8306"/>
        </w:tabs>
      </w:pPr>
      <w:r>
        <w:fldChar w:fldCharType="begin"/>
      </w:r>
      <w:r>
        <w:instrText xml:space="preserve"> HYPERLINK \l "_Toc2234" </w:instrText>
      </w:r>
      <w:r>
        <w:fldChar w:fldCharType="separate"/>
      </w:r>
      <w:r>
        <w:rPr>
          <w:rFonts w:hint="eastAsia" w:ascii="黑体" w:hAnsi="黑体" w:eastAsia="黑体" w:cs="黑体"/>
          <w:bCs/>
          <w:lang w:val="en-US"/>
        </w:rPr>
        <w:t>（二） 毕业生从事低专业对口度工作的原因</w:t>
      </w:r>
      <w:r>
        <w:tab/>
      </w:r>
      <w:r>
        <w:fldChar w:fldCharType="begin"/>
      </w:r>
      <w:r>
        <w:instrText xml:space="preserve"> PAGEREF _Toc2234 </w:instrText>
      </w:r>
      <w:r>
        <w:fldChar w:fldCharType="separate"/>
      </w:r>
      <w:r>
        <w:t>31</w:t>
      </w:r>
      <w:r>
        <w:fldChar w:fldCharType="end"/>
      </w:r>
      <w:r>
        <w:fldChar w:fldCharType="end"/>
      </w:r>
    </w:p>
    <w:p>
      <w:pPr>
        <w:pStyle w:val="7"/>
        <w:tabs>
          <w:tab w:val="right" w:leader="dot" w:pos="8306"/>
        </w:tabs>
      </w:pPr>
      <w:r>
        <w:fldChar w:fldCharType="begin"/>
      </w:r>
      <w:r>
        <w:instrText xml:space="preserve"> HYPERLINK \l "_Toc26871" </w:instrText>
      </w:r>
      <w:r>
        <w:fldChar w:fldCharType="separate"/>
      </w:r>
      <w:r>
        <w:rPr>
          <w:rFonts w:hint="eastAsia" w:ascii="黑体" w:hAnsi="黑体" w:eastAsia="黑体" w:cs="黑体"/>
          <w:bCs/>
          <w:lang w:val="en-US"/>
        </w:rPr>
        <w:t>（三） 毕业生从事的工作与自身职业期待的符合程度情况</w:t>
      </w:r>
      <w:r>
        <w:tab/>
      </w:r>
      <w:r>
        <w:fldChar w:fldCharType="begin"/>
      </w:r>
      <w:r>
        <w:instrText xml:space="preserve"> PAGEREF _Toc26871 </w:instrText>
      </w:r>
      <w:r>
        <w:fldChar w:fldCharType="separate"/>
      </w:r>
      <w:r>
        <w:t>31</w:t>
      </w:r>
      <w:r>
        <w:fldChar w:fldCharType="end"/>
      </w:r>
      <w:r>
        <w:fldChar w:fldCharType="end"/>
      </w:r>
    </w:p>
    <w:p>
      <w:pPr>
        <w:pStyle w:val="6"/>
        <w:tabs>
          <w:tab w:val="right" w:leader="dot" w:pos="8306"/>
        </w:tabs>
      </w:pPr>
      <w:r>
        <w:fldChar w:fldCharType="begin"/>
      </w:r>
      <w:r>
        <w:instrText xml:space="preserve"> HYPERLINK \l "_Toc7858" </w:instrText>
      </w:r>
      <w:r>
        <w:fldChar w:fldCharType="separate"/>
      </w:r>
      <w:r>
        <w:rPr>
          <w:rFonts w:ascii="黑体" w:hAnsi="黑体" w:eastAsia="黑体" w:cs="黑体"/>
          <w:szCs w:val="30"/>
        </w:rPr>
        <w:t xml:space="preserve">二、 </w:t>
      </w:r>
      <w:r>
        <w:rPr>
          <w:rFonts w:hint="eastAsia" w:ascii="黑体" w:hAnsi="黑体" w:eastAsia="黑体" w:cs="黑体"/>
          <w:szCs w:val="30"/>
        </w:rPr>
        <w:t>毕业生薪资待遇的情况分析</w:t>
      </w:r>
      <w:r>
        <w:tab/>
      </w:r>
      <w:r>
        <w:fldChar w:fldCharType="begin"/>
      </w:r>
      <w:r>
        <w:instrText xml:space="preserve"> PAGEREF _Toc7858 </w:instrText>
      </w:r>
      <w:r>
        <w:fldChar w:fldCharType="separate"/>
      </w:r>
      <w:r>
        <w:t>32</w:t>
      </w:r>
      <w:r>
        <w:fldChar w:fldCharType="end"/>
      </w:r>
      <w:r>
        <w:fldChar w:fldCharType="end"/>
      </w:r>
    </w:p>
    <w:p>
      <w:pPr>
        <w:pStyle w:val="7"/>
        <w:tabs>
          <w:tab w:val="right" w:leader="dot" w:pos="8306"/>
        </w:tabs>
      </w:pPr>
      <w:r>
        <w:fldChar w:fldCharType="begin"/>
      </w:r>
      <w:r>
        <w:instrText xml:space="preserve"> HYPERLINK \l "_Toc21597" </w:instrText>
      </w:r>
      <w:r>
        <w:fldChar w:fldCharType="separate"/>
      </w:r>
      <w:r>
        <w:rPr>
          <w:rFonts w:hint="eastAsia" w:ascii="黑体" w:hAnsi="黑体" w:eastAsia="黑体" w:cs="黑体"/>
          <w:bCs/>
          <w:lang w:val="en-US"/>
        </w:rPr>
        <w:t>（一） 毕业生对薪资待遇的满意度</w:t>
      </w:r>
      <w:r>
        <w:tab/>
      </w:r>
      <w:r>
        <w:fldChar w:fldCharType="begin"/>
      </w:r>
      <w:r>
        <w:instrText xml:space="preserve"> PAGEREF _Toc21597 </w:instrText>
      </w:r>
      <w:r>
        <w:fldChar w:fldCharType="separate"/>
      </w:r>
      <w:r>
        <w:t>32</w:t>
      </w:r>
      <w:r>
        <w:fldChar w:fldCharType="end"/>
      </w:r>
      <w:r>
        <w:fldChar w:fldCharType="end"/>
      </w:r>
    </w:p>
    <w:p>
      <w:pPr>
        <w:pStyle w:val="7"/>
        <w:tabs>
          <w:tab w:val="right" w:leader="dot" w:pos="8306"/>
        </w:tabs>
      </w:pPr>
      <w:r>
        <w:fldChar w:fldCharType="begin"/>
      </w:r>
      <w:r>
        <w:instrText xml:space="preserve"> HYPERLINK \l "_Toc24627" </w:instrText>
      </w:r>
      <w:r>
        <w:fldChar w:fldCharType="separate"/>
      </w:r>
      <w:r>
        <w:rPr>
          <w:rFonts w:hint="eastAsia" w:ascii="黑体" w:hAnsi="黑体" w:eastAsia="黑体" w:cs="黑体"/>
          <w:bCs/>
          <w:lang w:val="en-US"/>
        </w:rPr>
        <w:t>（二） 毕业生的薪资待遇水平</w:t>
      </w:r>
      <w:r>
        <w:tab/>
      </w:r>
      <w:r>
        <w:fldChar w:fldCharType="begin"/>
      </w:r>
      <w:r>
        <w:instrText xml:space="preserve"> PAGEREF _Toc24627 </w:instrText>
      </w:r>
      <w:r>
        <w:fldChar w:fldCharType="separate"/>
      </w:r>
      <w:r>
        <w:t>33</w:t>
      </w:r>
      <w:r>
        <w:fldChar w:fldCharType="end"/>
      </w:r>
      <w:r>
        <w:fldChar w:fldCharType="end"/>
      </w:r>
    </w:p>
    <w:p>
      <w:pPr>
        <w:pStyle w:val="6"/>
        <w:tabs>
          <w:tab w:val="right" w:leader="dot" w:pos="8306"/>
        </w:tabs>
      </w:pPr>
      <w:r>
        <w:fldChar w:fldCharType="begin"/>
      </w:r>
      <w:r>
        <w:instrText xml:space="preserve"> HYPERLINK \l "_Toc25052" </w:instrText>
      </w:r>
      <w:r>
        <w:fldChar w:fldCharType="separate"/>
      </w:r>
      <w:r>
        <w:rPr>
          <w:rFonts w:ascii="黑体" w:hAnsi="黑体" w:eastAsia="黑体" w:cs="黑体"/>
          <w:szCs w:val="30"/>
        </w:rPr>
        <w:t xml:space="preserve">三、 </w:t>
      </w:r>
      <w:r>
        <w:rPr>
          <w:rFonts w:hint="eastAsia" w:ascii="黑体" w:hAnsi="黑体" w:eastAsia="黑体" w:cs="黑体"/>
          <w:szCs w:val="30"/>
        </w:rPr>
        <w:t>毕业生对工作环境的满意度</w:t>
      </w:r>
      <w:r>
        <w:tab/>
      </w:r>
      <w:r>
        <w:fldChar w:fldCharType="begin"/>
      </w:r>
      <w:r>
        <w:instrText xml:space="preserve"> PAGEREF _Toc25052 </w:instrText>
      </w:r>
      <w:r>
        <w:fldChar w:fldCharType="separate"/>
      </w:r>
      <w:r>
        <w:t>33</w:t>
      </w:r>
      <w:r>
        <w:fldChar w:fldCharType="end"/>
      </w:r>
      <w:r>
        <w:fldChar w:fldCharType="end"/>
      </w:r>
    </w:p>
    <w:p>
      <w:pPr>
        <w:pStyle w:val="6"/>
        <w:tabs>
          <w:tab w:val="right" w:leader="dot" w:pos="8306"/>
        </w:tabs>
      </w:pPr>
      <w:r>
        <w:fldChar w:fldCharType="begin"/>
      </w:r>
      <w:r>
        <w:instrText xml:space="preserve"> HYPERLINK \l "_Toc10834" </w:instrText>
      </w:r>
      <w:r>
        <w:fldChar w:fldCharType="separate"/>
      </w:r>
      <w:r>
        <w:rPr>
          <w:rFonts w:ascii="黑体" w:hAnsi="黑体" w:eastAsia="黑体" w:cs="黑体"/>
          <w:szCs w:val="30"/>
        </w:rPr>
        <w:t xml:space="preserve">四、 </w:t>
      </w:r>
      <w:r>
        <w:rPr>
          <w:rFonts w:hint="eastAsia" w:ascii="黑体" w:hAnsi="黑体" w:eastAsia="黑体" w:cs="黑体"/>
          <w:szCs w:val="30"/>
        </w:rPr>
        <w:t>毕业生对从事工作的满意情况及分析</w:t>
      </w:r>
      <w:r>
        <w:tab/>
      </w:r>
      <w:r>
        <w:fldChar w:fldCharType="begin"/>
      </w:r>
      <w:r>
        <w:instrText xml:space="preserve"> PAGEREF _Toc10834 </w:instrText>
      </w:r>
      <w:r>
        <w:fldChar w:fldCharType="separate"/>
      </w:r>
      <w:r>
        <w:t>34</w:t>
      </w:r>
      <w:r>
        <w:fldChar w:fldCharType="end"/>
      </w:r>
      <w:r>
        <w:fldChar w:fldCharType="end"/>
      </w:r>
    </w:p>
    <w:p>
      <w:pPr>
        <w:pStyle w:val="7"/>
        <w:tabs>
          <w:tab w:val="right" w:leader="dot" w:pos="8306"/>
        </w:tabs>
      </w:pPr>
      <w:r>
        <w:fldChar w:fldCharType="begin"/>
      </w:r>
      <w:r>
        <w:instrText xml:space="preserve"> HYPERLINK \l "_Toc29133" </w:instrText>
      </w:r>
      <w:r>
        <w:fldChar w:fldCharType="separate"/>
      </w:r>
      <w:r>
        <w:rPr>
          <w:rFonts w:hint="eastAsia" w:ascii="黑体" w:hAnsi="黑体" w:eastAsia="黑体" w:cs="黑体"/>
          <w:bCs/>
        </w:rPr>
        <w:t>（一） 毕业生对从事工作的总体满意度情况</w:t>
      </w:r>
      <w:r>
        <w:tab/>
      </w:r>
      <w:r>
        <w:fldChar w:fldCharType="begin"/>
      </w:r>
      <w:r>
        <w:instrText xml:space="preserve"> PAGEREF _Toc29133 </w:instrText>
      </w:r>
      <w:r>
        <w:fldChar w:fldCharType="separate"/>
      </w:r>
      <w:r>
        <w:t>34</w:t>
      </w:r>
      <w:r>
        <w:fldChar w:fldCharType="end"/>
      </w:r>
      <w:r>
        <w:fldChar w:fldCharType="end"/>
      </w:r>
    </w:p>
    <w:p>
      <w:pPr>
        <w:pStyle w:val="7"/>
        <w:tabs>
          <w:tab w:val="right" w:leader="dot" w:pos="8306"/>
        </w:tabs>
      </w:pPr>
      <w:r>
        <w:fldChar w:fldCharType="begin"/>
      </w:r>
      <w:r>
        <w:instrText xml:space="preserve"> HYPERLINK \l "_Toc23858" </w:instrText>
      </w:r>
      <w:r>
        <w:fldChar w:fldCharType="separate"/>
      </w:r>
      <w:r>
        <w:rPr>
          <w:rFonts w:hint="eastAsia" w:ascii="黑体" w:hAnsi="黑体" w:eastAsia="黑体" w:cs="黑体"/>
          <w:bCs/>
        </w:rPr>
        <w:t>（二） 毕业生对工作内容的满意度</w:t>
      </w:r>
      <w:r>
        <w:tab/>
      </w:r>
      <w:r>
        <w:fldChar w:fldCharType="begin"/>
      </w:r>
      <w:r>
        <w:instrText xml:space="preserve"> PAGEREF _Toc23858 </w:instrText>
      </w:r>
      <w:r>
        <w:fldChar w:fldCharType="separate"/>
      </w:r>
      <w:r>
        <w:t>35</w:t>
      </w:r>
      <w:r>
        <w:fldChar w:fldCharType="end"/>
      </w:r>
      <w:r>
        <w:fldChar w:fldCharType="end"/>
      </w:r>
    </w:p>
    <w:p>
      <w:pPr>
        <w:pStyle w:val="6"/>
        <w:tabs>
          <w:tab w:val="right" w:leader="dot" w:pos="8306"/>
        </w:tabs>
      </w:pPr>
      <w:r>
        <w:fldChar w:fldCharType="begin"/>
      </w:r>
      <w:r>
        <w:instrText xml:space="preserve"> HYPERLINK \l "_Toc10293" </w:instrText>
      </w:r>
      <w:r>
        <w:fldChar w:fldCharType="separate"/>
      </w:r>
      <w:r>
        <w:rPr>
          <w:rFonts w:ascii="黑体" w:hAnsi="黑体" w:eastAsia="黑体" w:cs="黑体"/>
          <w:szCs w:val="30"/>
        </w:rPr>
        <w:t xml:space="preserve">五、 </w:t>
      </w:r>
      <w:r>
        <w:rPr>
          <w:rFonts w:hint="eastAsia" w:ascii="黑体" w:hAnsi="黑体" w:eastAsia="黑体" w:cs="黑体"/>
          <w:szCs w:val="30"/>
        </w:rPr>
        <w:t>毕业生对职业发展前景的满意度</w:t>
      </w:r>
      <w:r>
        <w:tab/>
      </w:r>
      <w:r>
        <w:fldChar w:fldCharType="begin"/>
      </w:r>
      <w:r>
        <w:instrText xml:space="preserve"> PAGEREF _Toc10293 </w:instrText>
      </w:r>
      <w:r>
        <w:fldChar w:fldCharType="separate"/>
      </w:r>
      <w:r>
        <w:t>36</w:t>
      </w:r>
      <w:r>
        <w:fldChar w:fldCharType="end"/>
      </w:r>
      <w:r>
        <w:fldChar w:fldCharType="end"/>
      </w:r>
    </w:p>
    <w:p>
      <w:pPr>
        <w:pStyle w:val="6"/>
        <w:tabs>
          <w:tab w:val="right" w:leader="dot" w:pos="8306"/>
        </w:tabs>
      </w:pPr>
      <w:r>
        <w:fldChar w:fldCharType="begin"/>
      </w:r>
      <w:r>
        <w:instrText xml:space="preserve"> HYPERLINK \l "_Toc26504" </w:instrText>
      </w:r>
      <w:r>
        <w:fldChar w:fldCharType="separate"/>
      </w:r>
      <w:r>
        <w:rPr>
          <w:rFonts w:ascii="黑体" w:hAnsi="黑体" w:eastAsia="黑体" w:cs="黑体"/>
          <w:szCs w:val="30"/>
        </w:rPr>
        <w:t xml:space="preserve">六、 </w:t>
      </w:r>
      <w:r>
        <w:rPr>
          <w:rFonts w:hint="eastAsia" w:ascii="黑体" w:hAnsi="黑体" w:eastAsia="黑体" w:cs="黑体"/>
          <w:szCs w:val="30"/>
        </w:rPr>
        <w:t>毕业生对学校就业服务工作的满意度情况及分析</w:t>
      </w:r>
      <w:r>
        <w:tab/>
      </w:r>
      <w:r>
        <w:fldChar w:fldCharType="begin"/>
      </w:r>
      <w:r>
        <w:instrText xml:space="preserve"> PAGEREF _Toc26504 </w:instrText>
      </w:r>
      <w:r>
        <w:fldChar w:fldCharType="separate"/>
      </w:r>
      <w:r>
        <w:t>37</w:t>
      </w:r>
      <w:r>
        <w:fldChar w:fldCharType="end"/>
      </w:r>
      <w:r>
        <w:fldChar w:fldCharType="end"/>
      </w:r>
    </w:p>
    <w:p>
      <w:pPr>
        <w:pStyle w:val="7"/>
        <w:tabs>
          <w:tab w:val="right" w:leader="dot" w:pos="8306"/>
        </w:tabs>
      </w:pPr>
      <w:r>
        <w:fldChar w:fldCharType="begin"/>
      </w:r>
      <w:r>
        <w:instrText xml:space="preserve"> HYPERLINK \l "_Toc12457" </w:instrText>
      </w:r>
      <w:r>
        <w:fldChar w:fldCharType="separate"/>
      </w:r>
      <w:r>
        <w:rPr>
          <w:rFonts w:hint="eastAsia" w:ascii="黑体" w:hAnsi="黑体" w:eastAsia="黑体" w:cs="黑体"/>
          <w:bCs/>
          <w:lang w:val="en-US"/>
        </w:rPr>
        <w:t>（一） 毕业生对学校就业服务工作的总体满意度情况</w:t>
      </w:r>
      <w:r>
        <w:tab/>
      </w:r>
      <w:r>
        <w:fldChar w:fldCharType="begin"/>
      </w:r>
      <w:r>
        <w:instrText xml:space="preserve"> PAGEREF _Toc12457 </w:instrText>
      </w:r>
      <w:r>
        <w:fldChar w:fldCharType="separate"/>
      </w:r>
      <w:r>
        <w:t>37</w:t>
      </w:r>
      <w:r>
        <w:fldChar w:fldCharType="end"/>
      </w:r>
      <w:r>
        <w:fldChar w:fldCharType="end"/>
      </w:r>
    </w:p>
    <w:p>
      <w:pPr>
        <w:pStyle w:val="7"/>
        <w:tabs>
          <w:tab w:val="right" w:leader="dot" w:pos="8306"/>
        </w:tabs>
      </w:pPr>
      <w:r>
        <w:fldChar w:fldCharType="begin"/>
      </w:r>
      <w:r>
        <w:instrText xml:space="preserve"> HYPERLINK \l "_Toc18278" </w:instrText>
      </w:r>
      <w:r>
        <w:fldChar w:fldCharType="separate"/>
      </w:r>
      <w:r>
        <w:rPr>
          <w:rFonts w:hint="eastAsia" w:ascii="黑体" w:hAnsi="黑体" w:eastAsia="黑体" w:cs="黑体"/>
          <w:bCs/>
          <w:lang w:val="en-US"/>
        </w:rPr>
        <w:t>（二） 毕业生对学校就业手续办理的满意度情况</w:t>
      </w:r>
      <w:r>
        <w:tab/>
      </w:r>
      <w:r>
        <w:fldChar w:fldCharType="begin"/>
      </w:r>
      <w:r>
        <w:instrText xml:space="preserve"> PAGEREF _Toc18278 </w:instrText>
      </w:r>
      <w:r>
        <w:fldChar w:fldCharType="separate"/>
      </w:r>
      <w:r>
        <w:t>37</w:t>
      </w:r>
      <w:r>
        <w:fldChar w:fldCharType="end"/>
      </w:r>
      <w:r>
        <w:fldChar w:fldCharType="end"/>
      </w:r>
    </w:p>
    <w:p>
      <w:pPr>
        <w:pStyle w:val="7"/>
        <w:tabs>
          <w:tab w:val="right" w:leader="dot" w:pos="8306"/>
        </w:tabs>
      </w:pPr>
      <w:r>
        <w:fldChar w:fldCharType="begin"/>
      </w:r>
      <w:r>
        <w:instrText xml:space="preserve"> HYPERLINK \l "_Toc29212" </w:instrText>
      </w:r>
      <w:r>
        <w:fldChar w:fldCharType="separate"/>
      </w:r>
      <w:r>
        <w:rPr>
          <w:rFonts w:hint="eastAsia" w:ascii="黑体" w:hAnsi="黑体" w:eastAsia="黑体" w:cs="黑体"/>
          <w:bCs/>
        </w:rPr>
        <w:t>（三） 毕业生就业信息渠道来源分析</w:t>
      </w:r>
      <w:r>
        <w:tab/>
      </w:r>
      <w:r>
        <w:fldChar w:fldCharType="begin"/>
      </w:r>
      <w:r>
        <w:instrText xml:space="preserve"> PAGEREF _Toc29212 </w:instrText>
      </w:r>
      <w:r>
        <w:fldChar w:fldCharType="separate"/>
      </w:r>
      <w:r>
        <w:t>38</w:t>
      </w:r>
      <w:r>
        <w:fldChar w:fldCharType="end"/>
      </w:r>
      <w:r>
        <w:fldChar w:fldCharType="end"/>
      </w:r>
    </w:p>
    <w:p>
      <w:pPr>
        <w:pStyle w:val="7"/>
        <w:tabs>
          <w:tab w:val="right" w:leader="dot" w:pos="8306"/>
        </w:tabs>
      </w:pPr>
      <w:r>
        <w:fldChar w:fldCharType="begin"/>
      </w:r>
      <w:r>
        <w:instrText xml:space="preserve"> HYPERLINK \l "_Toc15272" </w:instrText>
      </w:r>
      <w:r>
        <w:fldChar w:fldCharType="separate"/>
      </w:r>
      <w:r>
        <w:rPr>
          <w:rFonts w:hint="eastAsia" w:ascii="黑体" w:hAnsi="黑体" w:eastAsia="黑体" w:cs="黑体"/>
          <w:bCs/>
          <w:lang w:val="en-US"/>
        </w:rPr>
        <w:t>（四） 毕业生对学校开设就业指导课的满意度情况</w:t>
      </w:r>
      <w:r>
        <w:tab/>
      </w:r>
      <w:r>
        <w:fldChar w:fldCharType="begin"/>
      </w:r>
      <w:r>
        <w:instrText xml:space="preserve"> PAGEREF _Toc15272 </w:instrText>
      </w:r>
      <w:r>
        <w:fldChar w:fldCharType="separate"/>
      </w:r>
      <w:r>
        <w:t>39</w:t>
      </w:r>
      <w:r>
        <w:fldChar w:fldCharType="end"/>
      </w:r>
      <w:r>
        <w:fldChar w:fldCharType="end"/>
      </w:r>
    </w:p>
    <w:p>
      <w:pPr>
        <w:pStyle w:val="7"/>
        <w:tabs>
          <w:tab w:val="right" w:leader="dot" w:pos="8306"/>
        </w:tabs>
      </w:pPr>
      <w:r>
        <w:fldChar w:fldCharType="begin"/>
      </w:r>
      <w:r>
        <w:instrText xml:space="preserve"> HYPERLINK \l "_Toc25720" </w:instrText>
      </w:r>
      <w:r>
        <w:fldChar w:fldCharType="separate"/>
      </w:r>
      <w:r>
        <w:rPr>
          <w:rFonts w:hint="eastAsia" w:ascii="黑体" w:hAnsi="黑体" w:eastAsia="黑体" w:cs="黑体"/>
          <w:bCs/>
          <w:lang w:val="en-US"/>
        </w:rPr>
        <w:t>（五） 毕业生对学校就业信息服务网的满意度情况</w:t>
      </w:r>
      <w:r>
        <w:tab/>
      </w:r>
      <w:r>
        <w:fldChar w:fldCharType="begin"/>
      </w:r>
      <w:r>
        <w:instrText xml:space="preserve"> PAGEREF _Toc25720 </w:instrText>
      </w:r>
      <w:r>
        <w:fldChar w:fldCharType="separate"/>
      </w:r>
      <w:r>
        <w:t>39</w:t>
      </w:r>
      <w:r>
        <w:fldChar w:fldCharType="end"/>
      </w:r>
      <w:r>
        <w:fldChar w:fldCharType="end"/>
      </w:r>
    </w:p>
    <w:p>
      <w:pPr>
        <w:pStyle w:val="6"/>
        <w:tabs>
          <w:tab w:val="right" w:leader="dot" w:pos="8306"/>
        </w:tabs>
      </w:pPr>
      <w:r>
        <w:fldChar w:fldCharType="begin"/>
      </w:r>
      <w:r>
        <w:instrText xml:space="preserve"> HYPERLINK \l "_Toc2651" </w:instrText>
      </w:r>
      <w:r>
        <w:fldChar w:fldCharType="separate"/>
      </w:r>
      <w:r>
        <w:rPr>
          <w:rFonts w:ascii="黑体" w:hAnsi="黑体" w:eastAsia="黑体" w:cs="黑体"/>
          <w:szCs w:val="30"/>
        </w:rPr>
        <w:t xml:space="preserve">七、 </w:t>
      </w:r>
      <w:r>
        <w:rPr>
          <w:rFonts w:hint="eastAsia" w:ascii="黑体" w:hAnsi="黑体" w:eastAsia="黑体" w:cs="黑体"/>
          <w:szCs w:val="30"/>
        </w:rPr>
        <w:t>毕业生对学校的满意度情况及分析</w:t>
      </w:r>
      <w:r>
        <w:tab/>
      </w:r>
      <w:r>
        <w:fldChar w:fldCharType="begin"/>
      </w:r>
      <w:r>
        <w:instrText xml:space="preserve"> PAGEREF _Toc2651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"_Toc26027" </w:instrText>
      </w:r>
      <w:r>
        <w:fldChar w:fldCharType="separate"/>
      </w:r>
      <w:r>
        <w:rPr>
          <w:rFonts w:hint="eastAsia" w:ascii="黑体" w:hAnsi="黑体" w:eastAsia="黑体" w:cs="黑体"/>
          <w:bCs/>
          <w:lang w:val="en-US"/>
        </w:rPr>
        <w:t>（一） 毕业生对学校的总体满意度情况</w:t>
      </w:r>
      <w:r>
        <w:tab/>
      </w:r>
      <w:r>
        <w:fldChar w:fldCharType="begin"/>
      </w:r>
      <w:r>
        <w:instrText xml:space="preserve"> PAGEREF _Toc26027 </w:instrText>
      </w:r>
      <w:r>
        <w:fldChar w:fldCharType="separate"/>
      </w:r>
      <w:r>
        <w:t>40</w:t>
      </w:r>
      <w:r>
        <w:fldChar w:fldCharType="end"/>
      </w:r>
      <w:r>
        <w:fldChar w:fldCharType="end"/>
      </w:r>
    </w:p>
    <w:p>
      <w:pPr>
        <w:pStyle w:val="7"/>
        <w:tabs>
          <w:tab w:val="right" w:leader="dot" w:pos="8306"/>
        </w:tabs>
        <w:rPr>
          <w:color w:val="333333"/>
          <w:shd w:val="clear" w:color="auto" w:fill="FFFFFF"/>
        </w:rPr>
      </w:pPr>
      <w:r>
        <w:fldChar w:fldCharType="begin"/>
      </w:r>
      <w:r>
        <w:instrText xml:space="preserve"> HYPERLINK \l "_Toc8962" </w:instrText>
      </w:r>
      <w:r>
        <w:fldChar w:fldCharType="separate"/>
      </w:r>
      <w:r>
        <w:rPr>
          <w:rFonts w:hint="eastAsia" w:ascii="黑体" w:hAnsi="黑体" w:eastAsia="黑体" w:cs="黑体"/>
          <w:bCs/>
          <w:lang w:val="en-US"/>
        </w:rPr>
        <w:t>（二） 毕业生对推荐学校学生去您的工作单位就业情况</w:t>
      </w:r>
      <w:r>
        <w:tab/>
      </w:r>
      <w:r>
        <w:fldChar w:fldCharType="begin"/>
      </w:r>
      <w:r>
        <w:instrText xml:space="preserve"> PAGEREF _Toc8962 </w:instrText>
      </w:r>
      <w:r>
        <w:fldChar w:fldCharType="separate"/>
      </w:r>
      <w:r>
        <w:t>41</w:t>
      </w:r>
      <w:r>
        <w:fldChar w:fldCharType="end"/>
      </w:r>
      <w:r>
        <w:fldChar w:fldCharType="end"/>
      </w:r>
    </w:p>
    <w:p>
      <w:pPr>
        <w:rPr>
          <w:rFonts w:ascii="宋体" w:hAnsi="宋体" w:cs="宋体"/>
          <w:color w:val="333333"/>
          <w:shd w:val="clear" w:color="auto" w:fill="FFFFFF"/>
        </w:rPr>
      </w:pPr>
    </w:p>
    <w:p>
      <w:pPr>
        <w:rPr>
          <w:rFonts w:ascii="宋体" w:hAnsi="宋体" w:cs="宋体"/>
          <w:color w:val="333333"/>
          <w:shd w:val="clear" w:color="auto" w:fill="FFFFFF"/>
        </w:rPr>
      </w:pPr>
      <w:r>
        <w:rPr>
          <w:rFonts w:hint="eastAsia" w:ascii="宋体" w:hAnsi="宋体" w:cs="宋体"/>
          <w:b/>
          <w:bCs/>
          <w:sz w:val="28"/>
          <w:szCs w:val="36"/>
        </w:rPr>
        <w:t>第三部分  用人单位满意度分析</w:t>
      </w:r>
    </w:p>
    <w:p>
      <w:pPr>
        <w:rPr>
          <w:rFonts w:ascii="宋体" w:hAnsi="宋体" w:cs="宋体"/>
          <w:color w:val="333333"/>
          <w:shd w:val="clear" w:color="auto" w:fill="FFFFFF"/>
        </w:rPr>
      </w:pPr>
    </w:p>
    <w:p>
      <w:pPr>
        <w:pStyle w:val="6"/>
        <w:tabs>
          <w:tab w:val="right" w:leader="dot" w:pos="8306"/>
        </w:tabs>
      </w:pPr>
      <w:r>
        <w:fldChar w:fldCharType="begin"/>
      </w:r>
      <w:r>
        <w:instrText xml:space="preserve"> HYPERLINK \l "_Toc6804" </w:instrText>
      </w:r>
      <w:r>
        <w:fldChar w:fldCharType="separate"/>
      </w:r>
      <w:r>
        <w:rPr>
          <w:rFonts w:hint="eastAsia" w:ascii="黑体" w:hAnsi="黑体" w:eastAsia="黑体" w:cs="黑体"/>
          <w:szCs w:val="30"/>
        </w:rPr>
        <w:t>一、用人单位对学校毕业生的总体满意度情况</w:t>
      </w:r>
      <w:r>
        <w:tab/>
      </w:r>
      <w:r>
        <w:fldChar w:fldCharType="begin"/>
      </w:r>
      <w:r>
        <w:instrText xml:space="preserve"> PAGEREF _Toc6804 </w:instrText>
      </w:r>
      <w:r>
        <w:fldChar w:fldCharType="separate"/>
      </w:r>
      <w:r>
        <w:t>42</w:t>
      </w:r>
      <w:r>
        <w:fldChar w:fldCharType="end"/>
      </w:r>
      <w:r>
        <w:fldChar w:fldCharType="end"/>
      </w:r>
    </w:p>
    <w:p>
      <w:pPr>
        <w:pStyle w:val="6"/>
        <w:tabs>
          <w:tab w:val="right" w:leader="dot" w:pos="8306"/>
        </w:tabs>
      </w:pPr>
      <w:r>
        <w:fldChar w:fldCharType="begin"/>
      </w:r>
      <w:r>
        <w:instrText xml:space="preserve"> HYPERLINK \l "_Toc3276" </w:instrText>
      </w:r>
      <w:r>
        <w:fldChar w:fldCharType="separate"/>
      </w:r>
      <w:r>
        <w:rPr>
          <w:rFonts w:hint="eastAsia" w:ascii="黑体" w:hAnsi="黑体" w:eastAsia="黑体" w:cs="黑体"/>
          <w:szCs w:val="30"/>
        </w:rPr>
        <w:t>三、用人单位对学校毕业生竞争优势评价情况</w:t>
      </w:r>
      <w:r>
        <w:tab/>
      </w:r>
      <w:r>
        <w:fldChar w:fldCharType="begin"/>
      </w:r>
      <w:r>
        <w:instrText xml:space="preserve"> PAGEREF _Toc3276 </w:instrText>
      </w:r>
      <w:r>
        <w:fldChar w:fldCharType="separate"/>
      </w:r>
      <w:r>
        <w:t>42</w:t>
      </w:r>
      <w:r>
        <w:fldChar w:fldCharType="end"/>
      </w:r>
      <w:r>
        <w:fldChar w:fldCharType="end"/>
      </w:r>
    </w:p>
    <w:p>
      <w:pPr>
        <w:pStyle w:val="7"/>
        <w:tabs>
          <w:tab w:val="right" w:leader="dot" w:pos="8306"/>
        </w:tabs>
      </w:pPr>
      <w:r>
        <w:fldChar w:fldCharType="begin"/>
      </w:r>
      <w:r>
        <w:instrText xml:space="preserve"> HYPERLINK \l "_Toc13389" </w:instrText>
      </w:r>
      <w:r>
        <w:fldChar w:fldCharType="separate"/>
      </w:r>
      <w:r>
        <w:rPr>
          <w:rFonts w:hint="eastAsia" w:ascii="黑体" w:hAnsi="黑体" w:eastAsia="黑体" w:cs="黑体"/>
          <w:bCs/>
          <w:lang w:val="en-US"/>
        </w:rPr>
        <w:t>（一） 用人单位对学校毕业生学习能力的满意度</w:t>
      </w:r>
      <w:r>
        <w:tab/>
      </w:r>
      <w:r>
        <w:fldChar w:fldCharType="begin"/>
      </w:r>
      <w:r>
        <w:instrText xml:space="preserve"> PAGEREF _Toc13389 </w:instrText>
      </w:r>
      <w:r>
        <w:fldChar w:fldCharType="separate"/>
      </w:r>
      <w:r>
        <w:t>43</w:t>
      </w:r>
      <w:r>
        <w:fldChar w:fldCharType="end"/>
      </w:r>
      <w:r>
        <w:fldChar w:fldCharType="end"/>
      </w:r>
    </w:p>
    <w:p>
      <w:pPr>
        <w:pStyle w:val="7"/>
        <w:tabs>
          <w:tab w:val="right" w:leader="dot" w:pos="8306"/>
        </w:tabs>
      </w:pPr>
      <w:r>
        <w:fldChar w:fldCharType="begin"/>
      </w:r>
      <w:r>
        <w:instrText xml:space="preserve"> HYPERLINK \l "_Toc26754" </w:instrText>
      </w:r>
      <w:r>
        <w:fldChar w:fldCharType="separate"/>
      </w:r>
      <w:r>
        <w:rPr>
          <w:rFonts w:hint="eastAsia" w:ascii="黑体" w:hAnsi="黑体" w:eastAsia="黑体" w:cs="黑体"/>
          <w:bCs/>
          <w:lang w:val="en-US"/>
        </w:rPr>
        <w:t>（二） 用人单位对学校毕业生专业技能和能力的满意度</w:t>
      </w:r>
      <w:r>
        <w:tab/>
      </w:r>
      <w:r>
        <w:fldChar w:fldCharType="begin"/>
      </w:r>
      <w:r>
        <w:instrText xml:space="preserve"> PAGEREF _Toc26754 </w:instrText>
      </w:r>
      <w:r>
        <w:fldChar w:fldCharType="separate"/>
      </w:r>
      <w:r>
        <w:t>43</w:t>
      </w:r>
      <w:r>
        <w:fldChar w:fldCharType="end"/>
      </w:r>
      <w:r>
        <w:fldChar w:fldCharType="end"/>
      </w:r>
    </w:p>
    <w:p>
      <w:pPr>
        <w:pStyle w:val="7"/>
        <w:tabs>
          <w:tab w:val="right" w:leader="dot" w:pos="8306"/>
        </w:tabs>
      </w:pPr>
      <w:r>
        <w:fldChar w:fldCharType="begin"/>
      </w:r>
      <w:r>
        <w:instrText xml:space="preserve"> HYPERLINK \l "_Toc7206" </w:instrText>
      </w:r>
      <w:r>
        <w:fldChar w:fldCharType="separate"/>
      </w:r>
      <w:r>
        <w:rPr>
          <w:rFonts w:hint="eastAsia" w:ascii="黑体" w:hAnsi="黑体" w:eastAsia="黑体" w:cs="黑体"/>
          <w:bCs/>
          <w:lang w:val="en-US"/>
        </w:rPr>
        <w:t>（三） 用人单位对学校毕业生适应能力的满意度</w:t>
      </w:r>
      <w:r>
        <w:tab/>
      </w:r>
      <w:r>
        <w:fldChar w:fldCharType="begin"/>
      </w:r>
      <w:r>
        <w:instrText xml:space="preserve"> PAGEREF _Toc7206 </w:instrText>
      </w:r>
      <w:r>
        <w:fldChar w:fldCharType="separate"/>
      </w:r>
      <w:r>
        <w:t>44</w:t>
      </w:r>
      <w:r>
        <w:fldChar w:fldCharType="end"/>
      </w:r>
      <w:r>
        <w:fldChar w:fldCharType="end"/>
      </w:r>
    </w:p>
    <w:p>
      <w:pPr>
        <w:pStyle w:val="7"/>
        <w:tabs>
          <w:tab w:val="right" w:leader="dot" w:pos="8306"/>
        </w:tabs>
      </w:pPr>
      <w:r>
        <w:fldChar w:fldCharType="begin"/>
      </w:r>
      <w:r>
        <w:instrText xml:space="preserve"> HYPERLINK \l "_Toc24352" </w:instrText>
      </w:r>
      <w:r>
        <w:fldChar w:fldCharType="separate"/>
      </w:r>
      <w:r>
        <w:rPr>
          <w:rFonts w:hint="eastAsia" w:ascii="黑体" w:hAnsi="黑体" w:eastAsia="黑体" w:cs="黑体"/>
          <w:bCs/>
          <w:lang w:val="en-US"/>
        </w:rPr>
        <w:t>（四） 用人单位对学校毕业生敬业精神的满意度</w:t>
      </w:r>
      <w:r>
        <w:tab/>
      </w:r>
      <w:r>
        <w:fldChar w:fldCharType="begin"/>
      </w:r>
      <w:r>
        <w:instrText xml:space="preserve"> PAGEREF _Toc24352 </w:instrText>
      </w:r>
      <w:r>
        <w:fldChar w:fldCharType="separate"/>
      </w:r>
      <w:r>
        <w:t>45</w:t>
      </w:r>
      <w:r>
        <w:fldChar w:fldCharType="end"/>
      </w:r>
      <w:r>
        <w:fldChar w:fldCharType="end"/>
      </w:r>
    </w:p>
    <w:p>
      <w:pPr>
        <w:pStyle w:val="7"/>
        <w:tabs>
          <w:tab w:val="right" w:leader="dot" w:pos="8306"/>
        </w:tabs>
      </w:pPr>
      <w:r>
        <w:fldChar w:fldCharType="begin"/>
      </w:r>
      <w:r>
        <w:instrText xml:space="preserve"> HYPERLINK \l "_Toc20596" </w:instrText>
      </w:r>
      <w:r>
        <w:fldChar w:fldCharType="separate"/>
      </w:r>
      <w:r>
        <w:rPr>
          <w:rFonts w:hint="eastAsia" w:ascii="黑体" w:hAnsi="黑体" w:eastAsia="黑体" w:cs="黑体"/>
          <w:bCs/>
          <w:lang w:val="en-US"/>
        </w:rPr>
        <w:t>（五） 用人单位对学校毕业生团队合作能力的满意度</w:t>
      </w:r>
      <w:r>
        <w:tab/>
      </w:r>
      <w:r>
        <w:fldChar w:fldCharType="begin"/>
      </w:r>
      <w:r>
        <w:instrText xml:space="preserve"> PAGEREF _Toc20596 </w:instrText>
      </w:r>
      <w:r>
        <w:fldChar w:fldCharType="separate"/>
      </w:r>
      <w:r>
        <w:t>45</w:t>
      </w:r>
      <w:r>
        <w:fldChar w:fldCharType="end"/>
      </w:r>
      <w:r>
        <w:fldChar w:fldCharType="end"/>
      </w:r>
    </w:p>
    <w:p>
      <w:pPr>
        <w:pStyle w:val="7"/>
        <w:tabs>
          <w:tab w:val="right" w:leader="dot" w:pos="8306"/>
        </w:tabs>
      </w:pPr>
      <w:r>
        <w:fldChar w:fldCharType="begin"/>
      </w:r>
      <w:r>
        <w:instrText xml:space="preserve"> HYPERLINK \l "_Toc4573" </w:instrText>
      </w:r>
      <w:r>
        <w:fldChar w:fldCharType="separate"/>
      </w:r>
      <w:r>
        <w:rPr>
          <w:rFonts w:hint="eastAsia" w:ascii="黑体" w:hAnsi="黑体" w:eastAsia="黑体" w:cs="黑体"/>
          <w:bCs/>
          <w:lang w:val="en-US"/>
        </w:rPr>
        <w:t>（六） 用人单位对学校毕业生沟通能力的满意度</w:t>
      </w:r>
      <w:r>
        <w:tab/>
      </w:r>
      <w:r>
        <w:fldChar w:fldCharType="begin"/>
      </w:r>
      <w:r>
        <w:instrText xml:space="preserve"> PAGEREF _Toc4573 </w:instrText>
      </w:r>
      <w:r>
        <w:fldChar w:fldCharType="separate"/>
      </w:r>
      <w:r>
        <w:t>46</w:t>
      </w:r>
      <w:r>
        <w:fldChar w:fldCharType="end"/>
      </w:r>
      <w:r>
        <w:fldChar w:fldCharType="end"/>
      </w:r>
    </w:p>
    <w:p>
      <w:pPr>
        <w:pStyle w:val="7"/>
        <w:tabs>
          <w:tab w:val="right" w:leader="dot" w:pos="8306"/>
        </w:tabs>
      </w:pPr>
      <w:r>
        <w:fldChar w:fldCharType="begin"/>
      </w:r>
      <w:r>
        <w:instrText xml:space="preserve"> HYPERLINK \l "_Toc225" </w:instrText>
      </w:r>
      <w:r>
        <w:fldChar w:fldCharType="separate"/>
      </w:r>
      <w:r>
        <w:rPr>
          <w:rFonts w:hint="eastAsia" w:ascii="黑体" w:hAnsi="黑体" w:eastAsia="黑体" w:cs="黑体"/>
          <w:bCs/>
          <w:lang w:val="en-US"/>
        </w:rPr>
        <w:t>（七） 用人单位对学校毕业生动手实践能力的满意度</w:t>
      </w:r>
      <w:r>
        <w:tab/>
      </w:r>
      <w:r>
        <w:fldChar w:fldCharType="begin"/>
      </w:r>
      <w:r>
        <w:instrText xml:space="preserve"> PAGEREF _Toc225 </w:instrText>
      </w:r>
      <w:r>
        <w:fldChar w:fldCharType="separate"/>
      </w:r>
      <w:r>
        <w:t>47</w:t>
      </w:r>
      <w:r>
        <w:fldChar w:fldCharType="end"/>
      </w:r>
      <w:r>
        <w:fldChar w:fldCharType="end"/>
      </w:r>
    </w:p>
    <w:p>
      <w:pPr>
        <w:pStyle w:val="7"/>
        <w:tabs>
          <w:tab w:val="right" w:leader="dot" w:pos="8306"/>
        </w:tabs>
      </w:pPr>
      <w:r>
        <w:fldChar w:fldCharType="begin"/>
      </w:r>
      <w:r>
        <w:instrText xml:space="preserve"> HYPERLINK \l "_Toc32715" </w:instrText>
      </w:r>
      <w:r>
        <w:fldChar w:fldCharType="separate"/>
      </w:r>
      <w:r>
        <w:rPr>
          <w:rFonts w:hint="eastAsia" w:ascii="黑体" w:hAnsi="黑体" w:eastAsia="黑体" w:cs="黑体"/>
          <w:bCs/>
          <w:lang w:val="en-US"/>
        </w:rPr>
        <w:t>（八） 用人单位对学校毕业生抗压能力的满意度</w:t>
      </w:r>
      <w:r>
        <w:tab/>
      </w:r>
      <w:r>
        <w:fldChar w:fldCharType="begin"/>
      </w:r>
      <w:r>
        <w:instrText xml:space="preserve"> PAGEREF _Toc32715 </w:instrText>
      </w:r>
      <w:r>
        <w:fldChar w:fldCharType="separate"/>
      </w:r>
      <w:r>
        <w:t>47</w:t>
      </w:r>
      <w:r>
        <w:fldChar w:fldCharType="end"/>
      </w:r>
      <w:r>
        <w:fldChar w:fldCharType="end"/>
      </w:r>
    </w:p>
    <w:p>
      <w:pPr>
        <w:pStyle w:val="7"/>
        <w:tabs>
          <w:tab w:val="right" w:leader="dot" w:pos="8306"/>
        </w:tabs>
      </w:pPr>
      <w:r>
        <w:fldChar w:fldCharType="begin"/>
      </w:r>
      <w:r>
        <w:instrText xml:space="preserve"> HYPERLINK \l "_Toc11800" </w:instrText>
      </w:r>
      <w:r>
        <w:fldChar w:fldCharType="separate"/>
      </w:r>
      <w:r>
        <w:rPr>
          <w:rFonts w:hint="eastAsia" w:ascii="黑体" w:hAnsi="黑体" w:eastAsia="黑体" w:cs="黑体"/>
          <w:bCs/>
          <w:lang w:val="en-US"/>
        </w:rPr>
        <w:t>（九） 用人单位对学校毕业生计算机应用能力的满意度</w:t>
      </w:r>
      <w:r>
        <w:tab/>
      </w:r>
      <w:r>
        <w:fldChar w:fldCharType="begin"/>
      </w:r>
      <w:r>
        <w:instrText xml:space="preserve"> PAGEREF _Toc11800 </w:instrText>
      </w:r>
      <w:r>
        <w:fldChar w:fldCharType="separate"/>
      </w:r>
      <w:r>
        <w:t>48</w:t>
      </w:r>
      <w:r>
        <w:fldChar w:fldCharType="end"/>
      </w:r>
      <w:r>
        <w:fldChar w:fldCharType="end"/>
      </w:r>
    </w:p>
    <w:p>
      <w:pPr>
        <w:pStyle w:val="7"/>
        <w:tabs>
          <w:tab w:val="right" w:leader="dot" w:pos="8306"/>
        </w:tabs>
      </w:pPr>
      <w:r>
        <w:fldChar w:fldCharType="begin"/>
      </w:r>
      <w:r>
        <w:instrText xml:space="preserve"> HYPERLINK \l "_Toc13634" </w:instrText>
      </w:r>
      <w:r>
        <w:fldChar w:fldCharType="separate"/>
      </w:r>
      <w:r>
        <w:rPr>
          <w:rFonts w:hint="eastAsia" w:ascii="黑体" w:hAnsi="黑体" w:eastAsia="黑体" w:cs="黑体"/>
          <w:bCs/>
          <w:lang w:val="en-US"/>
        </w:rPr>
        <w:t>（十） 用人单位对学校毕业生创新能力的满意度</w:t>
      </w:r>
      <w:r>
        <w:tab/>
      </w:r>
      <w:r>
        <w:fldChar w:fldCharType="begin"/>
      </w:r>
      <w:r>
        <w:instrText xml:space="preserve"> PAGEREF _Toc13634 </w:instrText>
      </w:r>
      <w:r>
        <w:fldChar w:fldCharType="separate"/>
      </w:r>
      <w:r>
        <w:t>49</w:t>
      </w:r>
      <w:r>
        <w:fldChar w:fldCharType="end"/>
      </w:r>
      <w:r>
        <w:fldChar w:fldCharType="end"/>
      </w:r>
    </w:p>
    <w:p>
      <w:pPr>
        <w:pStyle w:val="7"/>
        <w:tabs>
          <w:tab w:val="right" w:leader="dot" w:pos="8306"/>
        </w:tabs>
      </w:pPr>
      <w:r>
        <w:fldChar w:fldCharType="begin"/>
      </w:r>
      <w:r>
        <w:instrText xml:space="preserve"> HYPERLINK \l "_Toc28678" </w:instrText>
      </w:r>
      <w:r>
        <w:fldChar w:fldCharType="separate"/>
      </w:r>
      <w:r>
        <w:rPr>
          <w:rFonts w:hint="eastAsia" w:ascii="黑体" w:hAnsi="黑体" w:eastAsia="黑体" w:cs="黑体"/>
          <w:bCs/>
          <w:lang w:val="en-US"/>
        </w:rPr>
        <w:t>（十一） 用人单位对学校毕业生英语能力的满意度</w:t>
      </w:r>
      <w:r>
        <w:tab/>
      </w:r>
      <w:r>
        <w:fldChar w:fldCharType="begin"/>
      </w:r>
      <w:r>
        <w:instrText xml:space="preserve"> PAGEREF _Toc28678 </w:instrText>
      </w:r>
      <w:r>
        <w:fldChar w:fldCharType="separate"/>
      </w:r>
      <w:r>
        <w:t>49</w:t>
      </w:r>
      <w:r>
        <w:fldChar w:fldCharType="end"/>
      </w:r>
      <w:r>
        <w:fldChar w:fldCharType="end"/>
      </w:r>
    </w:p>
    <w:p>
      <w:pPr>
        <w:pStyle w:val="6"/>
        <w:tabs>
          <w:tab w:val="right" w:leader="dot" w:pos="8306"/>
        </w:tabs>
        <w:rPr>
          <w:color w:val="333333"/>
          <w:shd w:val="clear" w:color="auto" w:fill="FFFFFF"/>
        </w:rPr>
      </w:pPr>
      <w:r>
        <w:fldChar w:fldCharType="begin"/>
      </w:r>
      <w:r>
        <w:instrText xml:space="preserve"> HYPERLINK \l "_Toc31648" </w:instrText>
      </w:r>
      <w:r>
        <w:fldChar w:fldCharType="separate"/>
      </w:r>
      <w:r>
        <w:rPr>
          <w:rFonts w:hint="eastAsia" w:ascii="黑体" w:hAnsi="黑体" w:eastAsia="黑体" w:cs="黑体"/>
          <w:szCs w:val="30"/>
        </w:rPr>
        <w:t>四、用人单位对学校就业服务工作的满意度情况</w:t>
      </w:r>
      <w:r>
        <w:tab/>
      </w:r>
      <w:r>
        <w:fldChar w:fldCharType="begin"/>
      </w:r>
      <w:r>
        <w:instrText xml:space="preserve"> PAGEREF _Toc31648 </w:instrText>
      </w:r>
      <w:r>
        <w:fldChar w:fldCharType="separate"/>
      </w:r>
      <w:r>
        <w:t>50</w:t>
      </w:r>
      <w:r>
        <w:fldChar w:fldCharType="end"/>
      </w:r>
      <w:r>
        <w:fldChar w:fldCharType="end"/>
      </w:r>
    </w:p>
    <w:p>
      <w:pPr>
        <w:rPr>
          <w:rFonts w:ascii="宋体" w:hAnsi="宋体" w:cs="宋体"/>
          <w:color w:val="333333"/>
          <w:shd w:val="clear" w:color="auto" w:fill="FFFFFF"/>
        </w:rPr>
      </w:pPr>
    </w:p>
    <w:p>
      <w:pPr>
        <w:rPr>
          <w:rFonts w:ascii="宋体" w:hAnsi="宋体" w:cs="宋体"/>
          <w:color w:val="333333"/>
          <w:shd w:val="clear" w:color="auto" w:fill="FFFFFF"/>
        </w:rPr>
      </w:pPr>
      <w:r>
        <w:rPr>
          <w:rFonts w:hint="eastAsia" w:ascii="宋体" w:hAnsi="宋体" w:cs="宋体"/>
          <w:b/>
          <w:bCs/>
          <w:sz w:val="28"/>
          <w:szCs w:val="36"/>
        </w:rPr>
        <w:t>第四部分  就业工作举措</w:t>
      </w:r>
    </w:p>
    <w:p>
      <w:pPr>
        <w:rPr>
          <w:rFonts w:ascii="宋体" w:hAnsi="宋体" w:cs="宋体"/>
          <w:color w:val="333333"/>
          <w:shd w:val="clear" w:color="auto" w:fill="FFFFFF"/>
        </w:rPr>
      </w:pPr>
    </w:p>
    <w:p>
      <w:pPr>
        <w:pStyle w:val="6"/>
        <w:tabs>
          <w:tab w:val="right" w:leader="dot" w:pos="8306"/>
        </w:tabs>
      </w:pPr>
      <w:r>
        <w:fldChar w:fldCharType="begin"/>
      </w:r>
      <w:r>
        <w:instrText xml:space="preserve"> HYPERLINK \l "_Toc24337" </w:instrText>
      </w:r>
      <w:r>
        <w:fldChar w:fldCharType="separate"/>
      </w:r>
      <w:r>
        <w:rPr>
          <w:rFonts w:hint="eastAsia" w:ascii="黑体" w:hAnsi="黑体" w:eastAsia="黑体" w:cs="黑体"/>
          <w:szCs w:val="30"/>
        </w:rPr>
        <w:t>一、领导重视，精准布局</w:t>
      </w:r>
      <w:r>
        <w:tab/>
      </w:r>
      <w:r>
        <w:fldChar w:fldCharType="begin"/>
      </w:r>
      <w:r>
        <w:instrText xml:space="preserve"> PAGEREF _Toc24337 </w:instrText>
      </w:r>
      <w:r>
        <w:fldChar w:fldCharType="separate"/>
      </w:r>
      <w:r>
        <w:t>52</w:t>
      </w:r>
      <w:r>
        <w:fldChar w:fldCharType="end"/>
      </w:r>
      <w:r>
        <w:fldChar w:fldCharType="end"/>
      </w:r>
    </w:p>
    <w:p>
      <w:pPr>
        <w:pStyle w:val="6"/>
        <w:tabs>
          <w:tab w:val="right" w:leader="dot" w:pos="8306"/>
        </w:tabs>
      </w:pPr>
      <w:r>
        <w:fldChar w:fldCharType="begin"/>
      </w:r>
      <w:r>
        <w:instrText xml:space="preserve"> HYPERLINK \l "_Toc13362" </w:instrText>
      </w:r>
      <w:r>
        <w:fldChar w:fldCharType="separate"/>
      </w:r>
      <w:r>
        <w:rPr>
          <w:rFonts w:hint="eastAsia" w:ascii="黑体" w:hAnsi="黑体" w:eastAsia="黑体" w:cs="黑体"/>
          <w:szCs w:val="30"/>
        </w:rPr>
        <w:t>二、建立用人单位数据库</w:t>
      </w:r>
      <w:r>
        <w:tab/>
      </w:r>
      <w:r>
        <w:fldChar w:fldCharType="begin"/>
      </w:r>
      <w:r>
        <w:instrText xml:space="preserve"> PAGEREF _Toc13362 </w:instrText>
      </w:r>
      <w:r>
        <w:fldChar w:fldCharType="separate"/>
      </w:r>
      <w:r>
        <w:t>52</w:t>
      </w:r>
      <w:r>
        <w:fldChar w:fldCharType="end"/>
      </w:r>
      <w:r>
        <w:fldChar w:fldCharType="end"/>
      </w:r>
    </w:p>
    <w:p>
      <w:pPr>
        <w:pStyle w:val="6"/>
        <w:tabs>
          <w:tab w:val="right" w:leader="dot" w:pos="8306"/>
        </w:tabs>
      </w:pPr>
      <w:r>
        <w:fldChar w:fldCharType="begin"/>
      </w:r>
      <w:r>
        <w:instrText xml:space="preserve"> HYPERLINK \l "_Toc16355" </w:instrText>
      </w:r>
      <w:r>
        <w:fldChar w:fldCharType="separate"/>
      </w:r>
      <w:r>
        <w:rPr>
          <w:rFonts w:hint="eastAsia" w:ascii="黑体" w:hAnsi="黑体" w:eastAsia="黑体" w:cs="黑体"/>
          <w:szCs w:val="30"/>
        </w:rPr>
        <w:t>三、帮扶就业困难群体</w:t>
      </w:r>
      <w:r>
        <w:tab/>
      </w:r>
      <w:r>
        <w:fldChar w:fldCharType="begin"/>
      </w:r>
      <w:r>
        <w:instrText xml:space="preserve"> PAGEREF _Toc16355 </w:instrText>
      </w:r>
      <w:r>
        <w:fldChar w:fldCharType="separate"/>
      </w:r>
      <w:r>
        <w:t>53</w:t>
      </w:r>
      <w:r>
        <w:fldChar w:fldCharType="end"/>
      </w:r>
      <w:r>
        <w:fldChar w:fldCharType="end"/>
      </w:r>
    </w:p>
    <w:p>
      <w:pPr>
        <w:pStyle w:val="6"/>
        <w:tabs>
          <w:tab w:val="right" w:leader="dot" w:pos="8306"/>
        </w:tabs>
      </w:pPr>
      <w:r>
        <w:fldChar w:fldCharType="begin"/>
      </w:r>
      <w:r>
        <w:instrText xml:space="preserve"> HYPERLINK \l "_Toc8002" </w:instrText>
      </w:r>
      <w:r>
        <w:fldChar w:fldCharType="separate"/>
      </w:r>
      <w:r>
        <w:rPr>
          <w:rFonts w:hint="eastAsia" w:ascii="黑体" w:hAnsi="黑体" w:eastAsia="黑体" w:cs="黑体"/>
          <w:szCs w:val="30"/>
        </w:rPr>
        <w:t>四、深入挖掘校友资源</w:t>
      </w:r>
      <w:r>
        <w:tab/>
      </w:r>
      <w:r>
        <w:fldChar w:fldCharType="begin"/>
      </w:r>
      <w:r>
        <w:instrText xml:space="preserve"> PAGEREF _Toc8002 </w:instrText>
      </w:r>
      <w:r>
        <w:fldChar w:fldCharType="separate"/>
      </w:r>
      <w:r>
        <w:t>53</w:t>
      </w:r>
      <w:r>
        <w:fldChar w:fldCharType="end"/>
      </w:r>
      <w:r>
        <w:fldChar w:fldCharType="end"/>
      </w:r>
    </w:p>
    <w:p>
      <w:pPr>
        <w:pStyle w:val="6"/>
        <w:tabs>
          <w:tab w:val="right" w:leader="dot" w:pos="8306"/>
        </w:tabs>
      </w:pPr>
      <w:r>
        <w:fldChar w:fldCharType="begin"/>
      </w:r>
      <w:r>
        <w:instrText xml:space="preserve"> HYPERLINK \l "_Toc6290" </w:instrText>
      </w:r>
      <w:r>
        <w:fldChar w:fldCharType="separate"/>
      </w:r>
      <w:r>
        <w:rPr>
          <w:rFonts w:hint="eastAsia" w:ascii="黑体" w:hAnsi="黑体" w:eastAsia="黑体" w:cs="黑体"/>
          <w:szCs w:val="30"/>
        </w:rPr>
        <w:t>五、引导毕业生多方式、多层次就业</w:t>
      </w:r>
      <w:r>
        <w:tab/>
      </w:r>
      <w:r>
        <w:fldChar w:fldCharType="begin"/>
      </w:r>
      <w:r>
        <w:instrText xml:space="preserve"> PAGEREF _Toc6290 </w:instrText>
      </w:r>
      <w:r>
        <w:fldChar w:fldCharType="separate"/>
      </w:r>
      <w:r>
        <w:t>53</w:t>
      </w:r>
      <w:r>
        <w:fldChar w:fldCharType="end"/>
      </w:r>
      <w:r>
        <w:fldChar w:fldCharType="end"/>
      </w:r>
    </w:p>
    <w:p>
      <w:pPr>
        <w:rPr>
          <w:rFonts w:ascii="宋体" w:hAnsi="宋体" w:cs="宋体"/>
          <w:color w:val="333333"/>
          <w:shd w:val="clear" w:color="auto" w:fill="FFFFFF"/>
        </w:rPr>
      </w:pPr>
      <w:r>
        <w:rPr>
          <w:rFonts w:ascii="宋体" w:hAnsi="宋体" w:cs="宋体"/>
          <w:color w:val="333333"/>
          <w:shd w:val="clear" w:color="auto" w:fill="FFFFFF"/>
        </w:rPr>
        <w:fldChar w:fldCharType="end"/>
      </w: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p>
    <w:p>
      <w:pPr>
        <w:rPr>
          <w:rFonts w:ascii="宋体" w:hAnsi="宋体" w:cs="宋体"/>
          <w:color w:val="333333"/>
          <w:shd w:val="clear" w:color="auto" w:fill="FFFFFF"/>
        </w:rPr>
      </w:pPr>
      <w:r>
        <w:rPr>
          <w:rFonts w:ascii="Times New Roman"/>
          <w:sz w:val="20"/>
        </w:rPr>
        <w:pict>
          <v:shape id="_x0000_s1031" o:spid="_x0000_s1031" o:spt="202" type="#_x0000_t202" style="height:34pt;width:416.05pt;" fillcolor="#990000" filled="t" stroked="f" coordsize="21600,21600">
            <v:path/>
            <v:fill on="t" focussize="0,0"/>
            <v:stroke on="f" weight="0.48pt" joinstyle="miter"/>
            <v:imagedata o:title=""/>
            <o:lock v:ext="edit"/>
            <v:textbox inset="0mm,0mm,0mm,0mm">
              <w:txbxContent>
                <w:p>
                  <w:pPr>
                    <w:spacing w:line="360" w:lineRule="auto"/>
                    <w:jc w:val="center"/>
                    <w:rPr>
                      <w:rFonts w:ascii="黑体" w:eastAsia="黑体"/>
                      <w:b/>
                      <w:color w:val="FFFFFF"/>
                      <w:sz w:val="32"/>
                    </w:rPr>
                  </w:pPr>
                  <w:bookmarkStart w:id="1364" w:name="_bookmark20"/>
                  <w:bookmarkEnd w:id="1364"/>
                  <w:bookmarkStart w:id="1365" w:name="_bookmark40"/>
                  <w:bookmarkEnd w:id="1365"/>
                  <w:bookmarkStart w:id="1366" w:name="_bookmark3"/>
                  <w:bookmarkEnd w:id="1366"/>
                  <w:r>
                    <w:rPr>
                      <w:rFonts w:hint="eastAsia" w:ascii="黑体" w:eastAsia="黑体"/>
                      <w:b/>
                      <w:color w:val="FFFFFF"/>
                      <w:sz w:val="32"/>
                    </w:rPr>
                    <w:t>学校概况</w:t>
                  </w:r>
                </w:p>
              </w:txbxContent>
            </v:textbox>
            <w10:wrap type="none"/>
            <w10:anchorlock/>
          </v:shape>
        </w:pict>
      </w:r>
    </w:p>
    <w:p>
      <w:pPr>
        <w:pStyle w:val="8"/>
        <w:widowControl/>
        <w:shd w:val="clear" w:color="auto" w:fill="FFFFFF"/>
        <w:spacing w:before="0" w:beforeAutospacing="0" w:after="0" w:afterAutospacing="0"/>
        <w:rPr>
          <w:rFonts w:ascii="宋体" w:hAnsi="宋体" w:cs="宋体"/>
          <w:color w:val="333333"/>
          <w:shd w:val="clear" w:color="auto" w:fill="FFFFFF"/>
        </w:rPr>
      </w:pPr>
    </w:p>
    <w:p>
      <w:pPr>
        <w:widowControl/>
        <w:spacing w:line="360" w:lineRule="auto"/>
        <w:ind w:firstLine="480" w:firstLineChars="200"/>
        <w:jc w:val="left"/>
        <w:rPr>
          <w:sz w:val="24"/>
        </w:rPr>
      </w:pPr>
      <w:bookmarkStart w:id="0" w:name="_bookmark2"/>
      <w:bookmarkEnd w:id="0"/>
      <w:r>
        <w:rPr>
          <w:rFonts w:hint="eastAsia" w:ascii="宋体" w:hAnsi="宋体" w:cs="宋体"/>
          <w:color w:val="363636"/>
          <w:kern w:val="0"/>
          <w:sz w:val="24"/>
          <w:shd w:val="clear" w:color="auto" w:fill="FFFFFF"/>
        </w:rPr>
        <w:t>上海立达学院是经国家教育部备案、上海市人民政府批准设立的全日制普通本科高校。</w:t>
      </w:r>
    </w:p>
    <w:p>
      <w:pPr>
        <w:widowControl/>
        <w:spacing w:line="360" w:lineRule="auto"/>
        <w:ind w:firstLine="480" w:firstLineChars="200"/>
        <w:jc w:val="left"/>
        <w:rPr>
          <w:sz w:val="24"/>
        </w:rPr>
      </w:pPr>
      <w:r>
        <w:rPr>
          <w:rFonts w:hint="eastAsia" w:ascii="宋体" w:hAnsi="宋体" w:cs="宋体"/>
          <w:color w:val="363636"/>
          <w:kern w:val="0"/>
          <w:sz w:val="24"/>
          <w:shd w:val="clear" w:color="auto" w:fill="FFFFFF"/>
        </w:rPr>
        <w:t>学校坐落于上海市松江区，是一所以管理学、艺术学为主，多学科协调发展，在上海和国内有一定知名度的民办高校。现有经管学院、艺术学院、传媒学院、护理学院、信息学院、基础与外语学院等六个二级学院；设有国际商务、财务管理、会计学、产品设计、视觉传达设计、摄影、播音与主持等本科专业，有护理、艺术设计等28个专科专业。目前有全日制在校生7</w:t>
      </w:r>
      <w:r>
        <w:rPr>
          <w:rFonts w:ascii="宋体" w:hAnsi="宋体" w:cs="宋体"/>
          <w:color w:val="363636"/>
          <w:kern w:val="0"/>
          <w:sz w:val="24"/>
          <w:shd w:val="clear" w:color="auto" w:fill="FFFFFF"/>
        </w:rPr>
        <w:t>8</w:t>
      </w:r>
      <w:r>
        <w:rPr>
          <w:rFonts w:hint="eastAsia" w:ascii="宋体" w:hAnsi="宋体" w:cs="宋体"/>
          <w:color w:val="363636"/>
          <w:kern w:val="0"/>
          <w:sz w:val="24"/>
          <w:shd w:val="clear" w:color="auto" w:fill="FFFFFF"/>
        </w:rPr>
        <w:t>00余人。</w:t>
      </w:r>
    </w:p>
    <w:p>
      <w:pPr>
        <w:widowControl/>
        <w:spacing w:line="360" w:lineRule="auto"/>
        <w:ind w:firstLine="480" w:firstLineChars="200"/>
        <w:jc w:val="left"/>
        <w:rPr>
          <w:sz w:val="24"/>
        </w:rPr>
      </w:pPr>
      <w:r>
        <w:rPr>
          <w:rFonts w:hint="eastAsia" w:ascii="宋体" w:hAnsi="宋体" w:cs="宋体"/>
          <w:color w:val="363636"/>
          <w:kern w:val="0"/>
          <w:sz w:val="24"/>
          <w:shd w:val="clear" w:color="auto" w:fill="FFFFFF"/>
        </w:rPr>
        <w:t>学校具有优美的校园环境。四季碧草如茵，湖光树影，鸟语花香，被教育部学信网评为“全国大学生校园环境满意度50强高校”。</w:t>
      </w:r>
    </w:p>
    <w:p>
      <w:pPr>
        <w:widowControl/>
        <w:spacing w:line="360" w:lineRule="auto"/>
        <w:ind w:firstLine="480" w:firstLineChars="200"/>
        <w:jc w:val="left"/>
        <w:rPr>
          <w:sz w:val="24"/>
        </w:rPr>
      </w:pPr>
      <w:r>
        <w:rPr>
          <w:rFonts w:hint="eastAsia" w:ascii="宋体" w:hAnsi="宋体" w:cs="宋体"/>
          <w:color w:val="363636"/>
          <w:kern w:val="0"/>
          <w:sz w:val="24"/>
          <w:shd w:val="clear" w:color="auto" w:fill="FFFFFF"/>
        </w:rPr>
        <w:t>具有丰厚的文化底蕴。传承“立人达人”的中华民族传统文化精髓，秉持“全人教育”的育人理念，创新“立德树人”人才培养模式，多次获得上海市文明单位称号。</w:t>
      </w:r>
    </w:p>
    <w:p>
      <w:pPr>
        <w:widowControl/>
        <w:spacing w:line="360" w:lineRule="auto"/>
        <w:ind w:firstLine="480" w:firstLineChars="200"/>
        <w:jc w:val="left"/>
        <w:rPr>
          <w:sz w:val="24"/>
        </w:rPr>
      </w:pPr>
      <w:r>
        <w:rPr>
          <w:rFonts w:hint="eastAsia" w:ascii="宋体" w:hAnsi="宋体" w:cs="宋体"/>
          <w:color w:val="363636"/>
          <w:kern w:val="0"/>
          <w:sz w:val="24"/>
          <w:shd w:val="clear" w:color="auto" w:fill="FFFFFF"/>
        </w:rPr>
        <w:t>具有雄厚的办学实力。依托北方国际大学联盟的集团化办学优势，办学资金充裕，共享联盟内</w:t>
      </w:r>
      <w:r>
        <w:rPr>
          <w:rFonts w:ascii="宋体" w:hAnsi="宋体" w:cs="宋体"/>
          <w:color w:val="363636"/>
          <w:kern w:val="0"/>
          <w:sz w:val="24"/>
          <w:shd w:val="clear" w:color="auto" w:fill="FFFFFF"/>
        </w:rPr>
        <w:t>20</w:t>
      </w:r>
      <w:r>
        <w:rPr>
          <w:rFonts w:hint="eastAsia" w:ascii="宋体" w:hAnsi="宋体" w:cs="宋体"/>
          <w:color w:val="363636"/>
          <w:kern w:val="0"/>
          <w:sz w:val="24"/>
          <w:shd w:val="clear" w:color="auto" w:fill="FFFFFF"/>
        </w:rPr>
        <w:t>所高校优质教育资源；现有专任教师376人，其中硕士、博士研究生学历教师205人；建设了109个校内实验实训室、124个校外实践基地，在加拿大、美国、英国等建有海外教学基地，可为学生提供优良的实践教学条件；建设了高端化的文体及生活设施，图书馆馆藏纸质图书66万余册，拥有现代化的电子阅览室、符合国际标准的运动场田径场、篮球场、足球场、网球场、以及体育馆、健身中心，五星级标准的学生公寓，餐厅等生活设施，为学生提供了优良的学习与生活条件。</w:t>
      </w:r>
    </w:p>
    <w:p>
      <w:pPr>
        <w:widowControl/>
        <w:spacing w:line="360" w:lineRule="auto"/>
        <w:ind w:firstLine="480" w:firstLineChars="200"/>
        <w:jc w:val="left"/>
        <w:rPr>
          <w:sz w:val="24"/>
        </w:rPr>
      </w:pPr>
      <w:r>
        <w:rPr>
          <w:rFonts w:hint="eastAsia" w:ascii="宋体" w:hAnsi="宋体" w:cs="宋体"/>
          <w:color w:val="363636"/>
          <w:kern w:val="0"/>
          <w:sz w:val="24"/>
          <w:shd w:val="clear" w:color="auto" w:fill="FFFFFF"/>
        </w:rPr>
        <w:t>具有鲜明的办学特色。大力推进国际化办学，拥有一支由国际顶尖的学者、精英组成的国际导师团队。积极拓展海外教育项目，在加拿大、美国、英国等国家开辟“微留学”、“海外升硕定向培养”和“专本硕直通”项目，为学生构建起多元化外向型发展平台，提供便利化条件和个性化服务。</w:t>
      </w:r>
    </w:p>
    <w:p>
      <w:pPr>
        <w:widowControl/>
        <w:shd w:val="clear" w:color="auto" w:fill="FFFFFF"/>
        <w:spacing w:line="360" w:lineRule="auto"/>
        <w:ind w:firstLine="480" w:firstLineChars="200"/>
        <w:jc w:val="left"/>
        <w:rPr>
          <w:rFonts w:ascii="宋体" w:hAnsi="宋体" w:cs="宋体"/>
          <w:color w:val="363636"/>
          <w:sz w:val="24"/>
        </w:rPr>
      </w:pPr>
      <w:r>
        <w:rPr>
          <w:rFonts w:hint="eastAsia" w:ascii="宋体" w:hAnsi="宋体" w:cs="宋体"/>
          <w:color w:val="363636"/>
          <w:kern w:val="0"/>
          <w:sz w:val="24"/>
          <w:shd w:val="clear" w:color="auto" w:fill="FFFFFF"/>
        </w:rPr>
        <w:t>具有良好的社会声誉。学校与国内外多家知名企业开展校企合作，与多所高校、科研单位开展教学科研学术交流，与地方政府、社会组织合作，举办高层次文化、艺术、体育活动，努力为区域经济社会发展提供服务。曾在上海市高校党政负责干部会议上介绍经验，办学成果受到上海市教委的充分肯定。教学质量得到用人单位广泛认可，累计向社会输送毕业生近2万名，近四年，毕业生总体就业率均超过98%，在上海同类高校中名列前茅。</w:t>
      </w:r>
    </w:p>
    <w:p>
      <w:pPr>
        <w:widowControl/>
        <w:shd w:val="clear" w:color="auto" w:fill="FFFFFF"/>
        <w:spacing w:line="360" w:lineRule="auto"/>
        <w:ind w:firstLine="480" w:firstLineChars="200"/>
        <w:jc w:val="left"/>
        <w:rPr>
          <w:rFonts w:ascii="宋体" w:hAnsi="宋体" w:cs="宋体"/>
          <w:color w:val="363636"/>
          <w:sz w:val="24"/>
        </w:rPr>
      </w:pPr>
      <w:r>
        <w:rPr>
          <w:rFonts w:hint="eastAsia" w:ascii="宋体" w:hAnsi="宋体" w:cs="宋体"/>
          <w:color w:val="363636"/>
          <w:kern w:val="0"/>
          <w:sz w:val="24"/>
          <w:shd w:val="clear" w:color="auto" w:fill="FFFFFF"/>
        </w:rPr>
        <w:t>面向新时代，学校将继续推进“高端化、国际化、个性化”发展战略，着力培养德智体美劳全面发展，具有国际视野和跨文化交流能力，富有国际竞争力和创新精神的高素质应用型人才，努力建设高水平一流民办大学。</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rPr>
          <w:rFonts w:ascii="宋体" w:hAnsi="宋体" w:cs="宋体"/>
          <w:color w:val="333333"/>
          <w:shd w:val="clear" w:color="auto" w:fill="FFFFFF"/>
        </w:rPr>
      </w:pPr>
      <w:r>
        <w:rPr>
          <w:rFonts w:ascii="Times New Roman"/>
          <w:sz w:val="20"/>
        </w:rPr>
        <w:pict>
          <v:shape id="_x0000_s1030" o:spid="_x0000_s1030" o:spt="202" type="#_x0000_t202" style="height:34pt;width:416.05pt;" fillcolor="#990000" filled="t" stroked="f" coordsize="21600,21600">
            <v:path/>
            <v:fill on="t" focussize="0,0"/>
            <v:stroke on="f" weight="0.48pt" joinstyle="miter"/>
            <v:imagedata o:title=""/>
            <o:lock v:ext="edit"/>
            <v:textbox inset="0mm,0mm,0mm,0mm">
              <w:txbxContent>
                <w:p>
                  <w:pPr>
                    <w:spacing w:line="360" w:lineRule="auto"/>
                    <w:jc w:val="center"/>
                    <w:rPr>
                      <w:rFonts w:ascii="黑体" w:eastAsia="黑体"/>
                      <w:b/>
                      <w:color w:val="FFFFFF"/>
                      <w:sz w:val="32"/>
                    </w:rPr>
                  </w:pPr>
                  <w:r>
                    <w:rPr>
                      <w:rFonts w:hint="eastAsia" w:ascii="黑体" w:eastAsia="黑体"/>
                      <w:b/>
                      <w:color w:val="FFFFFF"/>
                      <w:sz w:val="32"/>
                    </w:rPr>
                    <w:t>报告说明</w:t>
                  </w:r>
                </w:p>
              </w:txbxContent>
            </v:textbox>
            <w10:wrap type="none"/>
            <w10:anchorlock/>
          </v:shape>
        </w:pic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r>
        <w:rPr>
          <w:rFonts w:hint="eastAsia" w:ascii="宋体" w:hAnsi="宋体" w:cs="宋体"/>
          <w:color w:val="333333"/>
          <w:shd w:val="clear" w:color="auto" w:fill="FFFFFF"/>
        </w:rPr>
        <w:t>为全面反映毕业生的就业状况，建立起就业与人才培养良性互动的长效机制，学校根据《教育部办公厅关于编制发布高校毕业生就业质量年度报告的通知教学厅函[2013]25号》文件要求，编制和正式发布《上海立达学院 2019 届毕业生就业质量年度报告》。本报告数据来源于两个方面：</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r>
        <w:rPr>
          <w:rFonts w:hint="eastAsia" w:ascii="宋体" w:hAnsi="宋体" w:cs="宋体"/>
          <w:color w:val="333333"/>
          <w:shd w:val="clear" w:color="auto" w:fill="FFFFFF"/>
        </w:rPr>
        <w:t>1</w:t>
      </w:r>
      <w:r>
        <w:rPr>
          <w:rFonts w:ascii="宋体" w:hAnsi="宋体" w:cs="宋体"/>
          <w:color w:val="333333"/>
          <w:shd w:val="clear" w:color="auto" w:fill="FFFFFF"/>
        </w:rPr>
        <w:t>.</w:t>
      </w:r>
      <w:r>
        <w:rPr>
          <w:rFonts w:hint="eastAsia" w:ascii="宋体" w:hAnsi="宋体" w:cs="宋体"/>
          <w:color w:val="333333"/>
          <w:shd w:val="clear" w:color="auto" w:fill="FFFFFF"/>
        </w:rPr>
        <w:t>数据库、毕业去向凭证（三方协议、劳动合同、录取通知书等）。数据统计截止日期为 2019年 8月25日。使用数据主要涉及毕业生的规模和结构、就业率和签约率、毕业去向、就业流向等。</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r>
        <w:rPr>
          <w:rFonts w:hint="eastAsia" w:ascii="宋体" w:hAnsi="宋体" w:cs="宋体"/>
          <w:color w:val="333333"/>
          <w:shd w:val="clear" w:color="auto" w:fill="FFFFFF"/>
        </w:rPr>
        <w:t>2.调研面向全校2019届毕业生，有效问卷（邮件、电话回访）回收率为 40.01%。使用数据涉及毕业生就业质量和用人单位满意度情况相关分析。</w:t>
      </w: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sectPr>
          <w:footerReference r:id="rId4" w:type="default"/>
          <w:pgSz w:w="11906" w:h="16838"/>
          <w:pgMar w:top="1440" w:right="1800" w:bottom="1440" w:left="1800" w:header="851" w:footer="992" w:gutter="0"/>
          <w:pgNumType w:start="1"/>
          <w:cols w:space="425" w:num="1"/>
          <w:docGrid w:type="lines" w:linePitch="312" w:charSpace="0"/>
        </w:sectPr>
      </w:pPr>
    </w:p>
    <w:p>
      <w:pPr>
        <w:pStyle w:val="8"/>
        <w:widowControl/>
        <w:shd w:val="clear" w:color="auto" w:fill="FFFFFF"/>
        <w:spacing w:before="0" w:beforeAutospacing="0" w:after="0" w:afterAutospacing="0" w:line="360" w:lineRule="auto"/>
        <w:ind w:firstLine="480" w:firstLineChars="200"/>
        <w:rPr>
          <w:rFonts w:ascii="宋体" w:hAnsi="宋体" w:cs="宋体"/>
          <w:color w:val="333333"/>
          <w:shd w:val="clear" w:color="auto" w:fill="FFFFFF"/>
        </w:rPr>
      </w:pPr>
    </w:p>
    <w:p>
      <w:pPr>
        <w:pStyle w:val="8"/>
        <w:widowControl/>
        <w:shd w:val="clear" w:color="auto" w:fill="FFFFFF"/>
        <w:spacing w:before="0" w:beforeAutospacing="0" w:after="0" w:afterAutospacing="0" w:line="360" w:lineRule="auto"/>
        <w:rPr>
          <w:rFonts w:ascii="宋体" w:hAnsi="宋体" w:cs="宋体"/>
          <w:color w:val="333333"/>
          <w:shd w:val="clear" w:color="auto" w:fill="FFFFFF"/>
        </w:rPr>
      </w:pPr>
      <w:r>
        <w:rPr>
          <w:rFonts w:ascii="Times New Roman"/>
          <w:sz w:val="20"/>
        </w:rPr>
        <w:pict>
          <v:shape id="_x0000_s1029" o:spid="_x0000_s1029" o:spt="202" type="#_x0000_t202" style="height:34pt;width:416.05pt;" fillcolor="#990000" filled="t" stroked="f" coordsize="21600,21600">
            <v:path/>
            <v:fill on="t" focussize="0,0"/>
            <v:stroke on="f" weight="0.48pt" joinstyle="miter"/>
            <v:imagedata o:title=""/>
            <o:lock v:ext="edit"/>
            <v:textbox inset="0mm,0mm,0mm,0mm">
              <w:txbxContent>
                <w:p>
                  <w:pPr>
                    <w:spacing w:line="360" w:lineRule="auto"/>
                    <w:jc w:val="center"/>
                    <w:rPr>
                      <w:rFonts w:ascii="黑体" w:eastAsia="黑体"/>
                      <w:b/>
                      <w:color w:val="FFFFFF"/>
                      <w:sz w:val="32"/>
                    </w:rPr>
                  </w:pPr>
                  <w:r>
                    <w:rPr>
                      <w:rFonts w:hint="eastAsia" w:ascii="黑体" w:eastAsia="黑体"/>
                      <w:b/>
                      <w:color w:val="FFFFFF"/>
                      <w:sz w:val="32"/>
                    </w:rPr>
                    <w:t>第一部分  2019届毕业生就业基本情况</w:t>
                  </w:r>
                </w:p>
              </w:txbxContent>
            </v:textbox>
            <w10:wrap type="none"/>
            <w10:anchorlock/>
          </v:shape>
        </w:pict>
      </w:r>
    </w:p>
    <w:p>
      <w:pPr>
        <w:pStyle w:val="8"/>
        <w:widowControl/>
        <w:shd w:val="clear" w:color="auto" w:fill="FFFFFF"/>
        <w:spacing w:before="0" w:beforeAutospacing="0" w:after="0" w:afterAutospacing="0" w:line="360" w:lineRule="auto"/>
        <w:rPr>
          <w:rFonts w:ascii="宋体" w:hAnsi="宋体" w:cs="宋体"/>
          <w:color w:val="333333"/>
          <w:shd w:val="clear" w:color="auto" w:fill="FFFFFF"/>
        </w:rPr>
      </w:pPr>
    </w:p>
    <w:p>
      <w:pPr>
        <w:numPr>
          <w:ilvl w:val="0"/>
          <w:numId w:val="2"/>
        </w:numPr>
        <w:spacing w:line="600" w:lineRule="auto"/>
        <w:outlineLvl w:val="0"/>
        <w:rPr>
          <w:rFonts w:ascii="黑体" w:hAnsi="黑体" w:eastAsia="黑体" w:cs="黑体"/>
          <w:b/>
          <w:bCs/>
          <w:sz w:val="30"/>
          <w:szCs w:val="30"/>
        </w:rPr>
      </w:pPr>
      <w:bookmarkStart w:id="1" w:name="_Toc29545"/>
      <w:bookmarkStart w:id="2" w:name="_Toc12866"/>
      <w:bookmarkStart w:id="3" w:name="_Toc19851"/>
      <w:bookmarkStart w:id="4" w:name="_Toc28280"/>
      <w:bookmarkStart w:id="5" w:name="_Toc28600"/>
      <w:bookmarkStart w:id="6" w:name="_Toc26023"/>
      <w:bookmarkStart w:id="7" w:name="_Toc22573"/>
      <w:bookmarkStart w:id="8" w:name="_Toc30682"/>
      <w:bookmarkStart w:id="9" w:name="_Toc28123"/>
      <w:bookmarkStart w:id="10" w:name="_Toc32327"/>
      <w:bookmarkStart w:id="11" w:name="_Toc5922"/>
      <w:bookmarkStart w:id="12" w:name="_Toc800"/>
      <w:bookmarkStart w:id="13" w:name="_Toc26529"/>
      <w:bookmarkStart w:id="14" w:name="_Toc24607"/>
      <w:bookmarkStart w:id="15" w:name="_Toc28604"/>
      <w:bookmarkStart w:id="16" w:name="_Toc20531"/>
      <w:bookmarkStart w:id="17" w:name="_Toc5490"/>
      <w:bookmarkStart w:id="18" w:name="_Toc10822"/>
      <w:bookmarkStart w:id="19" w:name="_Toc11517"/>
      <w:bookmarkStart w:id="20" w:name="_Toc30595"/>
      <w:bookmarkStart w:id="21" w:name="_Toc26628"/>
      <w:bookmarkStart w:id="22" w:name="_Toc23382"/>
      <w:bookmarkStart w:id="23" w:name="_Toc17297"/>
      <w:bookmarkStart w:id="24" w:name="_Toc27166"/>
      <w:bookmarkStart w:id="25" w:name="_Toc20840"/>
      <w:bookmarkStart w:id="26" w:name="_Toc978"/>
      <w:bookmarkStart w:id="27" w:name="_Toc23900"/>
      <w:bookmarkStart w:id="28" w:name="_Toc5166"/>
      <w:bookmarkStart w:id="29" w:name="_Toc19054"/>
      <w:bookmarkStart w:id="30" w:name="_Toc25255"/>
      <w:bookmarkStart w:id="31" w:name="_Toc28866"/>
      <w:r>
        <w:rPr>
          <w:rFonts w:hint="eastAsia" w:ascii="黑体" w:hAnsi="黑体" w:eastAsia="黑体" w:cs="黑体"/>
          <w:b/>
          <w:bCs/>
          <w:sz w:val="30"/>
          <w:szCs w:val="30"/>
        </w:rPr>
        <w:t>毕业生的规模和结构</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numPr>
          <w:ilvl w:val="0"/>
          <w:numId w:val="3"/>
        </w:numPr>
        <w:spacing w:line="600" w:lineRule="auto"/>
        <w:outlineLvl w:val="1"/>
        <w:rPr>
          <w:rFonts w:ascii="黑体" w:hAnsi="黑体" w:eastAsia="黑体" w:cs="黑体"/>
          <w:b/>
          <w:bCs/>
          <w:sz w:val="28"/>
          <w:szCs w:val="36"/>
        </w:rPr>
      </w:pPr>
      <w:bookmarkStart w:id="32" w:name="_Toc6993"/>
      <w:bookmarkStart w:id="33" w:name="_Toc17294"/>
      <w:bookmarkStart w:id="34" w:name="_Toc32762"/>
      <w:bookmarkStart w:id="35" w:name="_Toc8531"/>
      <w:bookmarkStart w:id="36" w:name="_Toc9137"/>
      <w:bookmarkStart w:id="37" w:name="_Toc13669"/>
      <w:bookmarkStart w:id="38" w:name="_Toc31431"/>
      <w:bookmarkStart w:id="39" w:name="_Toc2776"/>
      <w:bookmarkStart w:id="40" w:name="_Toc4338"/>
      <w:bookmarkStart w:id="41" w:name="_Toc26773"/>
      <w:bookmarkStart w:id="42" w:name="_Toc21673"/>
      <w:bookmarkStart w:id="43" w:name="_Toc16128"/>
      <w:bookmarkStart w:id="44" w:name="_Toc26303"/>
      <w:bookmarkStart w:id="45" w:name="_Toc28279"/>
      <w:bookmarkStart w:id="46" w:name="_Toc9172"/>
      <w:bookmarkStart w:id="47" w:name="_Toc18804"/>
      <w:bookmarkStart w:id="48" w:name="_Toc21207"/>
      <w:bookmarkStart w:id="49" w:name="_Toc25836"/>
      <w:bookmarkStart w:id="50" w:name="_Toc16901"/>
      <w:bookmarkStart w:id="51" w:name="_Toc2161"/>
      <w:bookmarkStart w:id="52" w:name="_Toc4791"/>
      <w:bookmarkStart w:id="53" w:name="_Toc2017"/>
      <w:bookmarkStart w:id="54" w:name="_Toc855"/>
      <w:bookmarkStart w:id="55" w:name="_Toc28363"/>
      <w:bookmarkStart w:id="56" w:name="_Toc16459"/>
      <w:bookmarkStart w:id="57" w:name="_Toc12800"/>
      <w:bookmarkStart w:id="58" w:name="_Toc14309"/>
      <w:bookmarkStart w:id="59" w:name="_Toc17795"/>
      <w:bookmarkStart w:id="60" w:name="_Toc8115"/>
      <w:bookmarkStart w:id="61" w:name="_Toc5345"/>
      <w:bookmarkStart w:id="62" w:name="_Toc22071"/>
      <w:r>
        <w:rPr>
          <w:rFonts w:hint="eastAsia" w:ascii="黑体" w:hAnsi="黑体" w:eastAsia="黑体" w:cs="黑体"/>
          <w:b/>
          <w:bCs/>
          <w:sz w:val="28"/>
          <w:szCs w:val="36"/>
        </w:rPr>
        <w:t>毕业生总体规模</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上海立达学院2019届毕业生生源数为2366人，毕业人数为2337人。</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上海立达学院2018届毕业生生源数为2174人，毕业人数为2113人。</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上海立达学院2017届毕业生生源数为2045人，毕业人数为2011人。</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上海立达学院2016届毕业生生源数为1715人，毕业人数为1692人。</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数据显示，近4年来学校毕业生生源数和毕业人数始终保持递增状态，2019届的毕业生生源数和毕业人数均达到历史最高。</w:t>
      </w:r>
    </w:p>
    <w:p>
      <w:pPr>
        <w:pStyle w:val="2"/>
        <w:spacing w:line="360" w:lineRule="auto"/>
        <w:ind w:firstLine="480" w:firstLineChars="200"/>
        <w:jc w:val="left"/>
        <w:rPr>
          <w:rFonts w:ascii="宋体" w:hAnsi="宋体" w:eastAsia="宋体" w:cs="宋体"/>
          <w:color w:val="FF0000"/>
          <w:kern w:val="0"/>
          <w:sz w:val="24"/>
          <w:szCs w:val="24"/>
          <w:shd w:val="clear" w:color="auto" w:fill="FFFFFF"/>
          <w:lang w:val="en-US"/>
        </w:rPr>
      </w:pPr>
      <w:r>
        <w:rPr>
          <w:rFonts w:hint="eastAsia" w:ascii="宋体" w:hAnsi="宋体" w:eastAsia="宋体" w:cs="宋体"/>
          <w:kern w:val="0"/>
          <w:sz w:val="24"/>
          <w:szCs w:val="24"/>
          <w:shd w:val="clear" w:color="auto" w:fill="FFFFFF"/>
          <w:lang w:val="en-US"/>
        </w:rPr>
        <w:t>学校办学影响力和社会知名度得到持续提升。（图1-1所示）</w:t>
      </w:r>
    </w:p>
    <w:p>
      <w:pPr>
        <w:rPr>
          <w:rFonts w:ascii="宋体" w:hAnsi="宋体" w:cs="宋体"/>
          <w:color w:val="333333"/>
          <w:kern w:val="0"/>
          <w:sz w:val="24"/>
          <w:shd w:val="clear" w:color="auto" w:fill="FFFFFF"/>
        </w:rPr>
      </w:pPr>
    </w:p>
    <w:p>
      <w:pPr>
        <w:jc w:val="center"/>
      </w:pPr>
      <w:r>
        <w:drawing>
          <wp:inline distT="0" distB="0" distL="114300" distR="114300">
            <wp:extent cx="4572000" cy="2743200"/>
            <wp:effectExtent l="4445" t="4445" r="14605" b="1460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ascii="黑体" w:hAnsi="黑体" w:eastAsia="黑体" w:cs="黑体"/>
          <w:b/>
          <w:bCs/>
          <w:color w:val="333333"/>
          <w:kern w:val="0"/>
          <w:szCs w:val="21"/>
          <w:shd w:val="clear" w:color="auto" w:fill="FFFFFF"/>
        </w:rPr>
      </w:pPr>
      <w:r>
        <w:rPr>
          <w:rFonts w:hint="eastAsia" w:ascii="微软雅黑" w:hAnsi="微软雅黑" w:eastAsia="微软雅黑" w:cs="微软雅黑"/>
          <w:b/>
          <w:bCs/>
          <w:color w:val="333333"/>
          <w:kern w:val="0"/>
          <w:sz w:val="20"/>
          <w:szCs w:val="20"/>
          <w:shd w:val="clear" w:color="auto" w:fill="FFFFFF"/>
        </w:rPr>
        <w:t>图1-1  2016届-2019届毕业生总体规模</w:t>
      </w:r>
    </w:p>
    <w:p>
      <w:pPr>
        <w:numPr>
          <w:ilvl w:val="0"/>
          <w:numId w:val="3"/>
        </w:numPr>
        <w:spacing w:line="600" w:lineRule="auto"/>
        <w:outlineLvl w:val="1"/>
        <w:rPr>
          <w:rFonts w:ascii="黑体" w:hAnsi="黑体" w:eastAsia="黑体" w:cs="黑体"/>
          <w:b/>
          <w:bCs/>
          <w:sz w:val="28"/>
          <w:szCs w:val="36"/>
        </w:rPr>
      </w:pPr>
      <w:bookmarkStart w:id="63" w:name="_Toc6717"/>
      <w:bookmarkStart w:id="64" w:name="_Toc19725"/>
      <w:bookmarkStart w:id="65" w:name="_Toc1429"/>
      <w:bookmarkStart w:id="66" w:name="_Toc16856"/>
      <w:bookmarkStart w:id="67" w:name="_Toc15624"/>
      <w:bookmarkStart w:id="68" w:name="_Toc28818"/>
      <w:bookmarkStart w:id="69" w:name="_Toc8538"/>
      <w:bookmarkStart w:id="70" w:name="_Toc26215"/>
      <w:bookmarkStart w:id="71" w:name="_Toc7130"/>
      <w:bookmarkStart w:id="72" w:name="_Toc10073"/>
      <w:bookmarkStart w:id="73" w:name="_Toc21506"/>
      <w:bookmarkStart w:id="74" w:name="_Toc12161"/>
      <w:bookmarkStart w:id="75" w:name="_Toc17956"/>
      <w:bookmarkStart w:id="76" w:name="_Toc26746"/>
      <w:bookmarkStart w:id="77" w:name="_Toc27950"/>
      <w:bookmarkStart w:id="78" w:name="_Toc15931"/>
      <w:bookmarkStart w:id="79" w:name="_Toc21253"/>
      <w:bookmarkStart w:id="80" w:name="_Toc22606"/>
      <w:bookmarkStart w:id="81" w:name="_Toc15896"/>
      <w:bookmarkStart w:id="82" w:name="_Toc7738"/>
      <w:bookmarkStart w:id="83" w:name="_Toc25852"/>
      <w:bookmarkStart w:id="84" w:name="_Toc9889"/>
      <w:bookmarkStart w:id="85" w:name="_Toc29679"/>
      <w:bookmarkStart w:id="86" w:name="_Toc29016"/>
      <w:bookmarkStart w:id="87" w:name="_Toc16549"/>
      <w:bookmarkStart w:id="88" w:name="_Toc23247"/>
      <w:bookmarkStart w:id="89" w:name="_Toc21495"/>
      <w:bookmarkStart w:id="90" w:name="_Toc8834"/>
      <w:bookmarkStart w:id="91" w:name="_Toc7076"/>
      <w:bookmarkStart w:id="92" w:name="_Toc19448"/>
      <w:bookmarkStart w:id="93" w:name="_Toc18687"/>
      <w:r>
        <w:rPr>
          <w:rFonts w:hint="eastAsia" w:ascii="黑体" w:hAnsi="黑体" w:eastAsia="黑体" w:cs="黑体"/>
          <w:b/>
          <w:bCs/>
          <w:sz w:val="28"/>
          <w:szCs w:val="36"/>
        </w:rPr>
        <w:t>各二级学院毕业生的规模</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学校2019届毕业生分布在基础与外语学院、护理学院、艺术学院、经管学院、信息学院5个二级学院。</w:t>
      </w:r>
    </w:p>
    <w:p>
      <w:pPr>
        <w:pStyle w:val="2"/>
        <w:spacing w:line="360" w:lineRule="auto"/>
        <w:ind w:firstLine="480" w:firstLineChars="200"/>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“经管学院”的生源人数最多，有979人，占生源总人数的41.89%。</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其次是“护理学院”的生源人数较多，有654人，占生源总人数的27.98%。“基础与外语学院”的毕业人数</w:t>
      </w:r>
      <w:r>
        <w:rPr>
          <w:rFonts w:hint="eastAsia" w:ascii="宋体" w:hAnsi="宋体" w:eastAsia="宋体" w:cs="宋体"/>
          <w:kern w:val="0"/>
          <w:sz w:val="24"/>
          <w:szCs w:val="24"/>
          <w:shd w:val="clear" w:color="auto" w:fill="FFFFFF"/>
          <w:lang w:val="en-US" w:eastAsia="zh-CN"/>
        </w:rPr>
        <w:t>较</w:t>
      </w:r>
      <w:r>
        <w:rPr>
          <w:rFonts w:hint="eastAsia" w:ascii="宋体" w:hAnsi="宋体" w:eastAsia="宋体" w:cs="宋体"/>
          <w:kern w:val="0"/>
          <w:sz w:val="24"/>
          <w:szCs w:val="24"/>
          <w:shd w:val="clear" w:color="auto" w:fill="FFFFFF"/>
          <w:lang w:val="en-US"/>
        </w:rPr>
        <w:t>少，有65人，占生源总人数的2.78%。</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“信息学院”、“艺术学院的人数分别是335人、304人，所占比例分别是14.33%、13.01%。（图1-2所示）</w:t>
      </w:r>
    </w:p>
    <w:p>
      <w:pPr>
        <w:pStyle w:val="2"/>
        <w:spacing w:line="360" w:lineRule="auto"/>
        <w:ind w:firstLine="480" w:firstLineChars="200"/>
        <w:jc w:val="left"/>
        <w:rPr>
          <w:rFonts w:ascii="宋体" w:hAnsi="宋体" w:eastAsia="宋体" w:cs="宋体"/>
          <w:kern w:val="0"/>
          <w:sz w:val="24"/>
          <w:szCs w:val="24"/>
          <w:shd w:val="clear" w:color="auto" w:fill="FFFFFF"/>
          <w:lang w:val="en-US"/>
        </w:rPr>
      </w:pPr>
    </w:p>
    <w:p>
      <w:pPr>
        <w:pStyle w:val="2"/>
        <w:spacing w:line="360" w:lineRule="auto"/>
        <w:jc w:val="center"/>
        <w:rPr>
          <w:rFonts w:ascii="宋体" w:hAnsi="宋体" w:eastAsia="宋体" w:cs="宋体"/>
          <w:color w:val="FF0000"/>
          <w:kern w:val="0"/>
          <w:sz w:val="24"/>
          <w:szCs w:val="24"/>
          <w:shd w:val="clear" w:color="auto" w:fill="FFFFFF"/>
          <w:lang w:val="en-US"/>
        </w:rPr>
      </w:pPr>
      <w:r>
        <w:rPr>
          <w:lang w:val="en-US" w:bidi="ar-SA"/>
        </w:rPr>
        <w:drawing>
          <wp:inline distT="0" distB="0" distL="114300" distR="114300">
            <wp:extent cx="4572000" cy="2743200"/>
            <wp:effectExtent l="4445" t="4445" r="14605" b="14605"/>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rPr>
          <w:rFonts w:ascii="微软雅黑" w:hAnsi="微软雅黑" w:eastAsia="微软雅黑" w:cs="微软雅黑"/>
          <w:b/>
          <w:bCs/>
          <w:kern w:val="0"/>
          <w:sz w:val="20"/>
          <w:szCs w:val="20"/>
          <w:shd w:val="clear" w:color="auto" w:fill="FFFFFF"/>
        </w:rPr>
      </w:pPr>
      <w:r>
        <w:rPr>
          <w:rFonts w:hint="eastAsia" w:ascii="微软雅黑" w:hAnsi="微软雅黑" w:eastAsia="微软雅黑" w:cs="微软雅黑"/>
          <w:b/>
          <w:bCs/>
          <w:color w:val="333333"/>
          <w:kern w:val="0"/>
          <w:sz w:val="20"/>
          <w:szCs w:val="20"/>
          <w:shd w:val="clear" w:color="auto" w:fill="FFFFFF"/>
        </w:rPr>
        <w:t>图1-2 各二级学院毕业生的规模</w:t>
      </w:r>
    </w:p>
    <w:p>
      <w:pPr>
        <w:numPr>
          <w:ilvl w:val="0"/>
          <w:numId w:val="3"/>
        </w:numPr>
        <w:spacing w:line="600" w:lineRule="auto"/>
        <w:outlineLvl w:val="1"/>
        <w:rPr>
          <w:rFonts w:ascii="黑体" w:hAnsi="黑体" w:eastAsia="黑体" w:cs="黑体"/>
          <w:b/>
          <w:bCs/>
          <w:sz w:val="28"/>
          <w:szCs w:val="36"/>
        </w:rPr>
      </w:pPr>
      <w:bookmarkStart w:id="94" w:name="_Toc191"/>
      <w:bookmarkStart w:id="95" w:name="_Toc13870"/>
      <w:bookmarkStart w:id="96" w:name="_Toc8926"/>
      <w:bookmarkStart w:id="97" w:name="_Toc5486"/>
      <w:bookmarkStart w:id="98" w:name="_Toc28145"/>
      <w:bookmarkStart w:id="99" w:name="_Toc9809"/>
      <w:bookmarkStart w:id="100" w:name="_Toc21075"/>
      <w:bookmarkStart w:id="101" w:name="_Toc6124"/>
      <w:bookmarkStart w:id="102" w:name="_Toc20623"/>
      <w:bookmarkStart w:id="103" w:name="_Toc13940"/>
      <w:bookmarkStart w:id="104" w:name="_Toc25870"/>
      <w:bookmarkStart w:id="105" w:name="_Toc12369"/>
      <w:bookmarkStart w:id="106" w:name="_Toc18651"/>
      <w:bookmarkStart w:id="107" w:name="_Toc22285"/>
      <w:bookmarkStart w:id="108" w:name="_Toc26031"/>
      <w:bookmarkStart w:id="109" w:name="_Toc22727"/>
      <w:bookmarkStart w:id="110" w:name="_Toc18341"/>
      <w:bookmarkStart w:id="111" w:name="_Toc1527"/>
      <w:bookmarkStart w:id="112" w:name="_Toc6601"/>
      <w:bookmarkStart w:id="113" w:name="_Toc23180"/>
      <w:bookmarkStart w:id="114" w:name="_Toc29090"/>
      <w:bookmarkStart w:id="115" w:name="_Toc8168"/>
      <w:bookmarkStart w:id="116" w:name="_Toc25039"/>
      <w:bookmarkStart w:id="117" w:name="_Toc9453"/>
      <w:bookmarkStart w:id="118" w:name="_Toc27861"/>
      <w:bookmarkStart w:id="119" w:name="_Toc10463"/>
      <w:bookmarkStart w:id="120" w:name="_Toc30444"/>
      <w:r>
        <w:rPr>
          <w:rFonts w:hint="eastAsia" w:ascii="黑体" w:hAnsi="黑体" w:eastAsia="黑体" w:cs="黑体"/>
          <w:b/>
          <w:bCs/>
          <w:sz w:val="28"/>
          <w:szCs w:val="36"/>
        </w:rPr>
        <w:t>各专业毕业生的规模</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学校2019届毕业生涉及到35个专业。</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35个专业分别是护理、会计、机电一体化技术、金融管理、艺术设计(室内与景观设计)、软件技术、电子商务、酒店管理(烘焙与饮品)、计算机应用技术、商务英语、物流管理、报关与国际货运、工商企业管理、艺术设计(广告与展示设计)、传播与策划、连锁经营管理(港澳台合作)、数字媒体艺术设计(动漫制作)、国际商务、会展策划与管理、旅游管理(中高职贯通培养)、旅游管理(出境旅游计调)、护理(港澳台合作)、护理(涉外护理)、连锁经营管理(中高职贯通培养)、计算机网络技术、服装与服饰设计、环境艺术设计、健康管理、电气自动化技术、电子商务(跨境电商)、物联网应用技术、采购与供应管理、应用艺术设计（环境设计）、服装设计、应用艺术设计(展示设计)。</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数据显示，“护理”专业的毕业生人数最多，达到555人，占毕业生总人数的23.75%。</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其次是“会计”专业的毕业生人数较多，有258人，占毕业生总人数的11.04%。</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另外“应用艺术设计（环境</w:t>
      </w:r>
      <w:r>
        <w:rPr>
          <w:rFonts w:hint="eastAsia" w:ascii="宋体" w:hAnsi="宋体" w:eastAsia="宋体" w:cs="宋体"/>
          <w:kern w:val="0"/>
          <w:sz w:val="24"/>
          <w:szCs w:val="24"/>
          <w:shd w:val="clear" w:color="auto" w:fill="FFFFFF"/>
          <w:lang w:val="en-US"/>
        </w:rPr>
        <w:t>设计）”、“服装设计”、“应用艺术设计(展示设计)”3个专业名称变化，其毕业生为往届生延长学制，故人数低于5人，所占比例分别是0.17%，0.04%，0.04%。（表1-1所示）</w:t>
      </w:r>
    </w:p>
    <w:p>
      <w:pPr>
        <w:pStyle w:val="2"/>
        <w:spacing w:line="360" w:lineRule="auto"/>
        <w:ind w:firstLine="400" w:firstLineChars="200"/>
        <w:jc w:val="center"/>
        <w:rPr>
          <w:rFonts w:ascii="宋体" w:hAnsi="宋体" w:eastAsia="宋体" w:cs="宋体"/>
          <w:kern w:val="0"/>
          <w:sz w:val="24"/>
          <w:szCs w:val="24"/>
          <w:shd w:val="clear" w:color="auto" w:fill="FFFFFF"/>
          <w:lang w:val="en-US"/>
        </w:rPr>
      </w:pPr>
      <w:r>
        <w:rPr>
          <w:rFonts w:hint="eastAsia" w:ascii="微软雅黑" w:hAnsi="微软雅黑" w:eastAsia="微软雅黑" w:cs="微软雅黑"/>
          <w:b/>
          <w:bCs/>
          <w:color w:val="333333"/>
          <w:kern w:val="0"/>
          <w:sz w:val="20"/>
          <w:szCs w:val="20"/>
          <w:shd w:val="clear" w:color="auto" w:fill="FFFFFF"/>
          <w:lang w:val="en-US"/>
        </w:rPr>
        <w:t>表1-1  各专业毕业生的规模</w:t>
      </w:r>
    </w:p>
    <w:tbl>
      <w:tblPr>
        <w:tblStyle w:val="9"/>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01"/>
        <w:gridCol w:w="4967"/>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序号</w:t>
            </w:r>
          </w:p>
        </w:tc>
        <w:tc>
          <w:tcPr>
            <w:tcW w:w="4967"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专业</w:t>
            </w:r>
          </w:p>
        </w:tc>
        <w:tc>
          <w:tcPr>
            <w:tcW w:w="1966"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护理</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会计</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机电一体化技术</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金融管理</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艺术设计(室内与景观设计)</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软件技术</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电子商务</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酒店管理(烘焙与饮品)</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计算机应用技术</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商务英语</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物流管理</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报关与国际货运</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工商企业管理</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艺术设计(广告与展示设计)</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传播与策划</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连锁经营管理(港澳台合作)</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数字媒体艺术设计(动漫制作)</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国际商务</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会展策划与管理</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旅游管理(中高职贯通培养)</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旅游管理(出境旅游计调)</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护理(港澳台合作)</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护理(涉外护理)</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连锁经营管理(中高职贯通培养)</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计算机网络技术</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服装与服饰设计</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环境艺术设计</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健康管理</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电气自动化技术</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电子商务(跨境电商)</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物联网应用技术</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采购与供应管理</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应用艺术设计（环境设计）</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0.1</w:t>
            </w:r>
            <w:r>
              <w:rPr>
                <w:rFonts w:hint="eastAsia" w:ascii="宋体" w:hAnsi="宋体" w:cs="宋体"/>
                <w:color w:val="000000"/>
                <w:kern w:val="0"/>
                <w:sz w:val="24"/>
                <w:lang w:val="en-US" w:eastAsia="zh-CN"/>
              </w:rPr>
              <w:t>8</w:t>
            </w:r>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w:t>
            </w:r>
          </w:p>
        </w:tc>
        <w:tc>
          <w:tcPr>
            <w:tcW w:w="49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服装设计</w:t>
            </w:r>
          </w:p>
        </w:tc>
        <w:tc>
          <w:tcPr>
            <w:tcW w:w="1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0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w:t>
            </w:r>
          </w:p>
        </w:tc>
        <w:tc>
          <w:tcPr>
            <w:tcW w:w="49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应用艺术设计(展示设计)</w:t>
            </w:r>
          </w:p>
        </w:tc>
        <w:tc>
          <w:tcPr>
            <w:tcW w:w="1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0.04%</w:t>
            </w:r>
          </w:p>
        </w:tc>
      </w:tr>
    </w:tbl>
    <w:p>
      <w:pPr>
        <w:pStyle w:val="2"/>
        <w:spacing w:line="480" w:lineRule="auto"/>
        <w:rPr>
          <w:rFonts w:ascii="黑体" w:hAnsi="黑体" w:eastAsia="黑体" w:cs="黑体"/>
          <w:b/>
          <w:bCs/>
          <w:kern w:val="0"/>
          <w:sz w:val="21"/>
          <w:szCs w:val="21"/>
          <w:shd w:val="clear" w:color="auto" w:fill="FFFFFF"/>
          <w:lang w:val="en-US"/>
        </w:rPr>
      </w:pPr>
      <w:r>
        <w:rPr>
          <w:rFonts w:hint="eastAsia" w:ascii="微软雅黑" w:hAnsi="微软雅黑" w:eastAsia="微软雅黑" w:cs="微软雅黑"/>
          <w:b/>
          <w:bCs/>
          <w:color w:val="333333"/>
          <w:kern w:val="0"/>
          <w:sz w:val="20"/>
          <w:szCs w:val="20"/>
          <w:shd w:val="clear" w:color="auto" w:fill="FFFFFF"/>
          <w:lang w:val="en-US"/>
        </w:rPr>
        <w:t>注：本表按照各专业毕业生人数由高到低排序。</w:t>
      </w:r>
    </w:p>
    <w:p>
      <w:pPr>
        <w:numPr>
          <w:ilvl w:val="0"/>
          <w:numId w:val="3"/>
        </w:numPr>
        <w:spacing w:line="600" w:lineRule="auto"/>
        <w:outlineLvl w:val="1"/>
        <w:rPr>
          <w:rFonts w:ascii="黑体" w:hAnsi="黑体" w:eastAsia="黑体" w:cs="黑体"/>
          <w:b/>
          <w:bCs/>
          <w:sz w:val="28"/>
          <w:szCs w:val="36"/>
        </w:rPr>
      </w:pPr>
      <w:bookmarkStart w:id="121" w:name="_Toc6684"/>
      <w:bookmarkStart w:id="122" w:name="_Toc31525"/>
      <w:bookmarkStart w:id="123" w:name="_Toc31626"/>
      <w:bookmarkStart w:id="124" w:name="_Toc30110"/>
      <w:bookmarkStart w:id="125" w:name="_Toc10634"/>
      <w:bookmarkStart w:id="126" w:name="_Toc1131"/>
      <w:bookmarkStart w:id="127" w:name="_Toc24307"/>
      <w:bookmarkStart w:id="128" w:name="_Toc22598"/>
      <w:bookmarkStart w:id="129" w:name="_Toc23026"/>
      <w:bookmarkStart w:id="130" w:name="_Toc27876"/>
      <w:bookmarkStart w:id="131" w:name="_Toc4164"/>
      <w:bookmarkStart w:id="132" w:name="_Toc15930"/>
      <w:bookmarkStart w:id="133" w:name="_Toc12918"/>
      <w:bookmarkStart w:id="134" w:name="_Toc17015"/>
      <w:bookmarkStart w:id="135" w:name="_Toc28319"/>
      <w:bookmarkStart w:id="136" w:name="_Toc17556"/>
      <w:bookmarkStart w:id="137" w:name="_Toc17979"/>
      <w:bookmarkStart w:id="138" w:name="_Toc11731"/>
      <w:bookmarkStart w:id="139" w:name="_Toc12803"/>
      <w:bookmarkStart w:id="140" w:name="_Toc18732"/>
      <w:bookmarkStart w:id="141" w:name="_Toc3644"/>
      <w:bookmarkStart w:id="142" w:name="_Toc30525"/>
      <w:bookmarkStart w:id="143" w:name="_Toc22568"/>
      <w:bookmarkStart w:id="144" w:name="_Toc1884"/>
      <w:bookmarkStart w:id="145" w:name="_Toc8691"/>
      <w:bookmarkStart w:id="146" w:name="_Toc31973"/>
      <w:bookmarkStart w:id="147" w:name="_Toc24701"/>
      <w:bookmarkStart w:id="148" w:name="_Toc16248"/>
      <w:bookmarkStart w:id="149" w:name="_Toc13878"/>
      <w:bookmarkStart w:id="150" w:name="_Toc14400"/>
      <w:bookmarkStart w:id="151" w:name="_Toc9171"/>
      <w:r>
        <w:rPr>
          <w:rFonts w:hint="eastAsia" w:ascii="黑体" w:hAnsi="黑体" w:eastAsia="黑体" w:cs="黑体"/>
          <w:b/>
          <w:bCs/>
          <w:sz w:val="28"/>
          <w:szCs w:val="36"/>
        </w:rPr>
        <w:t>毕业生性别结构</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kern w:val="0"/>
          <w:sz w:val="24"/>
          <w:szCs w:val="24"/>
          <w:shd w:val="clear" w:color="auto" w:fill="FFFFFF"/>
          <w:lang w:val="en-US"/>
        </w:rPr>
        <w:t>学校2019届毕业生总人数为2337人，其中男生为885 人，占毕业生总人数的37.87%；女生为1452人，占毕业生总人数的62.13%。（图1-3所示）</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560" w:firstLineChars="200"/>
        <w:jc w:val="center"/>
        <w:rPr>
          <w:rFonts w:ascii="宋体" w:hAnsi="宋体" w:eastAsia="宋体" w:cs="宋体"/>
          <w:color w:val="333333"/>
          <w:kern w:val="0"/>
          <w:sz w:val="24"/>
          <w:szCs w:val="24"/>
          <w:shd w:val="clear" w:color="auto" w:fill="FFFFFF"/>
          <w:lang w:val="en-US"/>
        </w:rPr>
      </w:pPr>
      <w:r>
        <w:rPr>
          <w:lang w:val="en-US" w:bidi="ar-SA"/>
        </w:rPr>
        <w:drawing>
          <wp:inline distT="0" distB="0" distL="114300" distR="114300">
            <wp:extent cx="4572000" cy="2743200"/>
            <wp:effectExtent l="4445" t="4445" r="14605" b="14605"/>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480" w:lineRule="auto"/>
        <w:jc w:val="center"/>
        <w:rPr>
          <w:rFonts w:ascii="黑体" w:hAnsi="黑体" w:eastAsia="黑体" w:cs="黑体"/>
          <w:b/>
          <w:bCs/>
          <w:color w:val="333333"/>
          <w:kern w:val="0"/>
          <w:szCs w:val="21"/>
          <w:shd w:val="clear" w:color="auto" w:fill="FFFFFF"/>
        </w:rPr>
      </w:pPr>
      <w:r>
        <w:rPr>
          <w:rFonts w:hint="eastAsia" w:ascii="微软雅黑" w:hAnsi="微软雅黑" w:eastAsia="微软雅黑" w:cs="微软雅黑"/>
          <w:b/>
          <w:bCs/>
          <w:color w:val="333333"/>
          <w:kern w:val="0"/>
          <w:sz w:val="20"/>
          <w:szCs w:val="20"/>
          <w:shd w:val="clear" w:color="auto" w:fill="FFFFFF"/>
        </w:rPr>
        <w:t>图1-3 毕业生性别结构</w:t>
      </w:r>
    </w:p>
    <w:p>
      <w:pPr>
        <w:numPr>
          <w:ilvl w:val="0"/>
          <w:numId w:val="3"/>
        </w:numPr>
        <w:spacing w:line="600" w:lineRule="auto"/>
        <w:outlineLvl w:val="1"/>
        <w:rPr>
          <w:rFonts w:ascii="黑体" w:hAnsi="黑体" w:eastAsia="黑体" w:cs="黑体"/>
          <w:b/>
          <w:bCs/>
          <w:sz w:val="28"/>
          <w:szCs w:val="36"/>
        </w:rPr>
      </w:pPr>
      <w:bookmarkStart w:id="152" w:name="_Toc29647"/>
      <w:bookmarkStart w:id="153" w:name="_Toc16933"/>
      <w:bookmarkStart w:id="154" w:name="_Toc31108"/>
      <w:bookmarkStart w:id="155" w:name="_Toc11692"/>
      <w:bookmarkStart w:id="156" w:name="_Toc4633"/>
      <w:bookmarkStart w:id="157" w:name="_Toc30987"/>
      <w:bookmarkStart w:id="158" w:name="_Toc24198"/>
      <w:bookmarkStart w:id="159" w:name="_Toc7239"/>
      <w:bookmarkStart w:id="160" w:name="_Toc12475"/>
      <w:bookmarkStart w:id="161" w:name="_Toc7549"/>
      <w:bookmarkStart w:id="162" w:name="_Toc20170"/>
      <w:bookmarkStart w:id="163" w:name="_Toc16645"/>
      <w:bookmarkStart w:id="164" w:name="_Toc15466"/>
      <w:bookmarkStart w:id="165" w:name="_Toc7305"/>
      <w:bookmarkStart w:id="166" w:name="_Toc3383"/>
      <w:bookmarkStart w:id="167" w:name="_Toc25773"/>
      <w:bookmarkStart w:id="168" w:name="_Toc10961"/>
      <w:bookmarkStart w:id="169" w:name="_Toc23046"/>
      <w:bookmarkStart w:id="170" w:name="_Toc24516"/>
      <w:bookmarkStart w:id="171" w:name="_Toc25627"/>
      <w:bookmarkStart w:id="172" w:name="_Toc23763"/>
      <w:bookmarkStart w:id="173" w:name="_Toc21036"/>
      <w:bookmarkStart w:id="174" w:name="_Toc4885"/>
      <w:bookmarkStart w:id="175" w:name="_Toc18433"/>
      <w:bookmarkStart w:id="176" w:name="_Toc11831"/>
      <w:bookmarkStart w:id="177" w:name="_Toc10946"/>
      <w:bookmarkStart w:id="178" w:name="_Toc10453"/>
      <w:bookmarkStart w:id="179" w:name="_Toc8730"/>
      <w:bookmarkStart w:id="180" w:name="_Toc9907"/>
      <w:bookmarkStart w:id="181" w:name="_Toc8952"/>
      <w:bookmarkStart w:id="182" w:name="_Toc31995"/>
      <w:r>
        <w:rPr>
          <w:rFonts w:hint="eastAsia" w:ascii="黑体" w:hAnsi="黑体" w:eastAsia="黑体" w:cs="黑体"/>
          <w:b/>
          <w:bCs/>
          <w:sz w:val="28"/>
          <w:szCs w:val="36"/>
        </w:rPr>
        <w:t>毕业生生源结构</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学校2019届毕业生来自全国 29个省（市/自治区）。毕业生生源以上海市生源为主，有1112人，占毕业生总人数的47.58%。</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市外生源主要来自安徽省（11.72%）和浙江省（9.2%）这2个省，人数分别是274人和215人。</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市外生源中广西壮族自治区（</w:t>
      </w:r>
      <w:r>
        <w:rPr>
          <w:rFonts w:hint="eastAsia" w:ascii="宋体" w:hAnsi="宋体" w:eastAsia="宋体" w:cs="宋体"/>
          <w:kern w:val="0"/>
          <w:sz w:val="24"/>
          <w:szCs w:val="24"/>
          <w:shd w:val="clear" w:color="auto" w:fill="FFFFFF"/>
          <w:lang w:val="en-US" w:eastAsia="zh-CN"/>
        </w:rPr>
        <w:t>0.18</w:t>
      </w:r>
      <w:r>
        <w:rPr>
          <w:rFonts w:hint="eastAsia" w:ascii="宋体" w:hAnsi="宋体" w:eastAsia="宋体" w:cs="宋体"/>
          <w:kern w:val="0"/>
          <w:sz w:val="24"/>
          <w:szCs w:val="24"/>
          <w:shd w:val="clear" w:color="auto" w:fill="FFFFFF"/>
          <w:lang w:val="en-US"/>
        </w:rPr>
        <w:t>%）和台湾</w:t>
      </w:r>
      <w:r>
        <w:rPr>
          <w:rFonts w:hint="eastAsia" w:ascii="宋体" w:hAnsi="宋体" w:eastAsia="宋体" w:cs="宋体"/>
          <w:kern w:val="0"/>
          <w:sz w:val="24"/>
          <w:szCs w:val="24"/>
          <w:shd w:val="clear" w:color="auto" w:fill="FFFFFF"/>
          <w:lang w:val="en-US" w:eastAsia="zh-CN"/>
        </w:rPr>
        <w:t>省</w:t>
      </w:r>
      <w:r>
        <w:rPr>
          <w:rFonts w:hint="eastAsia" w:ascii="宋体" w:hAnsi="宋体" w:eastAsia="宋体" w:cs="宋体"/>
          <w:kern w:val="0"/>
          <w:sz w:val="24"/>
          <w:szCs w:val="24"/>
          <w:shd w:val="clear" w:color="auto" w:fill="FFFFFF"/>
          <w:lang w:val="en-US"/>
        </w:rPr>
        <w:t>（0.</w:t>
      </w:r>
      <w:r>
        <w:rPr>
          <w:rFonts w:hint="eastAsia" w:ascii="宋体" w:hAnsi="宋体" w:eastAsia="宋体" w:cs="宋体"/>
          <w:kern w:val="0"/>
          <w:sz w:val="24"/>
          <w:szCs w:val="24"/>
          <w:shd w:val="clear" w:color="auto" w:fill="FFFFFF"/>
          <w:lang w:val="en-US" w:eastAsia="zh-CN"/>
        </w:rPr>
        <w:t>13</w:t>
      </w:r>
      <w:r>
        <w:rPr>
          <w:rFonts w:hint="eastAsia" w:ascii="宋体" w:hAnsi="宋体" w:eastAsia="宋体" w:cs="宋体"/>
          <w:kern w:val="0"/>
          <w:sz w:val="24"/>
          <w:szCs w:val="24"/>
          <w:shd w:val="clear" w:color="auto" w:fill="FFFFFF"/>
          <w:lang w:val="en-US"/>
        </w:rPr>
        <w:t>%）所占比例较少。（表1-2所示）</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其中，2019届毕业生中的上海生源相比2018届毕业生中的上海生源上升了3.47个百分点。</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与2018届毕业生中非上海生源数据做比较，可以发现来自安徽省、浙江省的毕业生生源已经连续两年超过200人。（表1-2所示）</w:t>
      </w:r>
    </w:p>
    <w:p>
      <w:pPr>
        <w:spacing w:line="480" w:lineRule="auto"/>
        <w:jc w:val="center"/>
        <w:rPr>
          <w:rFonts w:ascii="微软雅黑" w:hAnsi="微软雅黑" w:eastAsia="微软雅黑" w:cs="微软雅黑"/>
          <w:kern w:val="0"/>
          <w:sz w:val="20"/>
          <w:szCs w:val="20"/>
          <w:shd w:val="clear" w:color="auto" w:fill="FFFFFF"/>
        </w:rPr>
      </w:pPr>
      <w:r>
        <w:rPr>
          <w:rFonts w:hint="eastAsia" w:ascii="微软雅黑" w:hAnsi="微软雅黑" w:eastAsia="微软雅黑" w:cs="微软雅黑"/>
          <w:b/>
          <w:bCs/>
          <w:color w:val="333333"/>
          <w:kern w:val="0"/>
          <w:sz w:val="20"/>
          <w:szCs w:val="20"/>
          <w:shd w:val="clear" w:color="auto" w:fill="FFFFFF"/>
        </w:rPr>
        <w:t>表1-2 毕业生生源结构</w:t>
      </w:r>
    </w:p>
    <w:tbl>
      <w:tblPr>
        <w:tblStyle w:val="9"/>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0"/>
        <w:gridCol w:w="3536"/>
        <w:gridCol w:w="1534"/>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序号</w:t>
            </w:r>
          </w:p>
        </w:tc>
        <w:tc>
          <w:tcPr>
            <w:tcW w:w="3536"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生源地</w:t>
            </w:r>
          </w:p>
        </w:tc>
        <w:tc>
          <w:tcPr>
            <w:tcW w:w="1534"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人数</w:t>
            </w:r>
          </w:p>
        </w:tc>
        <w:tc>
          <w:tcPr>
            <w:tcW w:w="2154"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1112</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安徽省</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274</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215</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74</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江西省</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70</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海南省</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61</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山东省</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55</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48</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黑龙江省</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41</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重庆市</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39</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四川省</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39</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贵州省</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38</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山西省</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36</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云南省</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35</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河南省</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33</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湖南省</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25</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福建省</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21</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辽宁省</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19</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新疆维吾尔自治区</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19</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甘肃省</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18</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吉林省</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11</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湖北省</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11</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青海省</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8</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宁夏回族自治区</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8</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河北省</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7</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内蒙古自治区</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7</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陕西省</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6</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353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广西壮族自治区</w:t>
            </w:r>
          </w:p>
        </w:tc>
        <w:tc>
          <w:tcPr>
            <w:tcW w:w="153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4</w:t>
            </w:r>
          </w:p>
        </w:tc>
        <w:tc>
          <w:tcPr>
            <w:tcW w:w="215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0.1</w:t>
            </w:r>
            <w:r>
              <w:rPr>
                <w:rFonts w:hint="eastAsia" w:ascii="宋体" w:hAnsi="宋体" w:cs="宋体"/>
                <w:color w:val="000000"/>
                <w:kern w:val="0"/>
                <w:sz w:val="24"/>
                <w:lang w:val="en-US" w:eastAsia="zh-CN"/>
              </w:rPr>
              <w:t>8</w:t>
            </w:r>
            <w:r>
              <w:rPr>
                <w:rFonts w:hint="eastAsia" w:ascii="宋体" w:hAnsi="宋体"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1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353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台湾省</w:t>
            </w:r>
          </w:p>
        </w:tc>
        <w:tc>
          <w:tcPr>
            <w:tcW w:w="153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3</w:t>
            </w:r>
          </w:p>
        </w:tc>
        <w:tc>
          <w:tcPr>
            <w:tcW w:w="215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0.13%</w:t>
            </w:r>
          </w:p>
        </w:tc>
      </w:tr>
    </w:tbl>
    <w:p>
      <w:pPr>
        <w:jc w:val="left"/>
        <w:rPr>
          <w:rFonts w:ascii="微软雅黑" w:hAnsi="微软雅黑" w:eastAsia="微软雅黑" w:cs="微软雅黑"/>
          <w:b/>
          <w:bCs/>
          <w:kern w:val="0"/>
          <w:sz w:val="20"/>
          <w:szCs w:val="20"/>
          <w:shd w:val="clear" w:color="auto" w:fill="FFFFFF"/>
        </w:rPr>
      </w:pPr>
      <w:r>
        <w:rPr>
          <w:rFonts w:hint="eastAsia" w:ascii="微软雅黑" w:hAnsi="微软雅黑" w:eastAsia="微软雅黑" w:cs="微软雅黑"/>
          <w:b/>
          <w:bCs/>
          <w:kern w:val="0"/>
          <w:sz w:val="20"/>
          <w:szCs w:val="20"/>
          <w:shd w:val="clear" w:color="auto" w:fill="FFFFFF"/>
        </w:rPr>
        <w:t>注：本表按照各个生源地区的人数所占比例由高到低排序。</w:t>
      </w:r>
    </w:p>
    <w:p>
      <w:pPr>
        <w:numPr>
          <w:ilvl w:val="0"/>
          <w:numId w:val="2"/>
        </w:numPr>
        <w:spacing w:line="600" w:lineRule="auto"/>
        <w:outlineLvl w:val="0"/>
        <w:rPr>
          <w:rFonts w:ascii="黑体" w:hAnsi="黑体" w:eastAsia="黑体" w:cs="黑体"/>
          <w:b/>
          <w:bCs/>
          <w:sz w:val="30"/>
          <w:szCs w:val="30"/>
        </w:rPr>
      </w:pPr>
      <w:bookmarkStart w:id="183" w:name="_Toc9017"/>
      <w:bookmarkStart w:id="184" w:name="_Toc1459"/>
      <w:bookmarkStart w:id="185" w:name="_Toc15315"/>
      <w:bookmarkStart w:id="186" w:name="_Toc29592"/>
      <w:bookmarkStart w:id="187" w:name="_Toc25286"/>
      <w:bookmarkStart w:id="188" w:name="_Toc6083"/>
      <w:bookmarkStart w:id="189" w:name="_Toc19237"/>
      <w:bookmarkStart w:id="190" w:name="_Toc8828"/>
      <w:bookmarkStart w:id="191" w:name="_Toc14913"/>
      <w:bookmarkStart w:id="192" w:name="_Toc29853"/>
      <w:bookmarkStart w:id="193" w:name="_Toc2900"/>
      <w:bookmarkStart w:id="194" w:name="_Toc26012"/>
      <w:bookmarkStart w:id="195" w:name="_Toc20366"/>
      <w:bookmarkStart w:id="196" w:name="_Toc22074"/>
      <w:bookmarkStart w:id="197" w:name="_Toc3244"/>
      <w:bookmarkStart w:id="198" w:name="_Toc29988"/>
      <w:bookmarkStart w:id="199" w:name="_Toc31638"/>
      <w:bookmarkStart w:id="200" w:name="_Toc2501"/>
      <w:bookmarkStart w:id="201" w:name="_Toc14198"/>
      <w:bookmarkStart w:id="202" w:name="_Toc30792"/>
      <w:bookmarkStart w:id="203" w:name="_Toc11398"/>
      <w:bookmarkStart w:id="204" w:name="_Toc6073"/>
      <w:bookmarkStart w:id="205" w:name="_Toc1710"/>
      <w:bookmarkStart w:id="206" w:name="_Toc18880"/>
      <w:bookmarkStart w:id="207" w:name="_Toc24714"/>
      <w:bookmarkStart w:id="208" w:name="_Toc959"/>
      <w:bookmarkStart w:id="209" w:name="_Toc12780"/>
      <w:bookmarkStart w:id="210" w:name="_Toc29782"/>
      <w:bookmarkStart w:id="211" w:name="_Toc2963"/>
      <w:bookmarkStart w:id="212" w:name="_Toc18110"/>
      <w:bookmarkStart w:id="213" w:name="_Toc2565"/>
      <w:r>
        <w:rPr>
          <w:rFonts w:hint="eastAsia" w:ascii="黑体" w:hAnsi="黑体" w:eastAsia="黑体" w:cs="黑体"/>
          <w:b/>
          <w:bCs/>
          <w:sz w:val="30"/>
          <w:szCs w:val="30"/>
        </w:rPr>
        <w:t>毕业生的就业率和签约率</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就业率是反映大学生就业情况和社会对学校毕业生需求程度的重要指标和参考依据，根据教育部发布的《教育部办公厅关于进一步加强和完善高校毕业生就业状况统计报告工作的通知》，高校毕业生的就业率的计算公式为：毕业生就业率=（已就业毕业生人数÷毕业生总人数）×100%。</w:t>
      </w:r>
    </w:p>
    <w:p>
      <w:pPr>
        <w:numPr>
          <w:ilvl w:val="0"/>
          <w:numId w:val="4"/>
        </w:numPr>
        <w:spacing w:line="600" w:lineRule="auto"/>
        <w:outlineLvl w:val="1"/>
        <w:rPr>
          <w:rFonts w:ascii="黑体" w:hAnsi="黑体" w:eastAsia="黑体" w:cs="黑体"/>
          <w:b/>
          <w:bCs/>
          <w:sz w:val="28"/>
          <w:szCs w:val="36"/>
        </w:rPr>
      </w:pPr>
      <w:bookmarkStart w:id="214" w:name="_Toc3093"/>
      <w:bookmarkStart w:id="215" w:name="_Toc18197"/>
      <w:bookmarkStart w:id="216" w:name="_Toc25792"/>
      <w:bookmarkStart w:id="217" w:name="_Toc4106"/>
      <w:bookmarkStart w:id="218" w:name="_Toc121"/>
      <w:bookmarkStart w:id="219" w:name="_Toc15180"/>
      <w:bookmarkStart w:id="220" w:name="_Toc11606"/>
      <w:bookmarkStart w:id="221" w:name="_Toc14420"/>
      <w:bookmarkStart w:id="222" w:name="_Toc31527"/>
      <w:bookmarkStart w:id="223" w:name="_Toc5176"/>
      <w:bookmarkStart w:id="224" w:name="_Toc18096"/>
      <w:bookmarkStart w:id="225" w:name="_Toc30098"/>
      <w:bookmarkStart w:id="226" w:name="_Toc12812"/>
      <w:bookmarkStart w:id="227" w:name="_Toc27744"/>
      <w:bookmarkStart w:id="228" w:name="_Toc8725"/>
      <w:bookmarkStart w:id="229" w:name="_Toc23747"/>
      <w:bookmarkStart w:id="230" w:name="_Toc4069"/>
      <w:bookmarkStart w:id="231" w:name="_Toc31211"/>
      <w:bookmarkStart w:id="232" w:name="_Toc14360"/>
      <w:bookmarkStart w:id="233" w:name="_Toc1663"/>
      <w:bookmarkStart w:id="234" w:name="_Toc21789"/>
      <w:bookmarkStart w:id="235" w:name="_Toc17798"/>
      <w:bookmarkStart w:id="236" w:name="_Toc29620"/>
      <w:bookmarkStart w:id="237" w:name="_Toc17046"/>
      <w:bookmarkStart w:id="238" w:name="_Toc11550"/>
      <w:bookmarkStart w:id="239" w:name="_Toc21803"/>
      <w:bookmarkStart w:id="240" w:name="_Toc21583"/>
      <w:bookmarkStart w:id="241" w:name="_Toc29370"/>
      <w:bookmarkStart w:id="242" w:name="_Toc5228"/>
      <w:bookmarkStart w:id="243" w:name="_Toc1353"/>
      <w:bookmarkStart w:id="244" w:name="_Toc19041"/>
      <w:r>
        <w:rPr>
          <w:rFonts w:hint="eastAsia" w:ascii="黑体" w:hAnsi="黑体" w:eastAsia="黑体" w:cs="黑体"/>
          <w:b/>
          <w:bCs/>
          <w:sz w:val="28"/>
          <w:szCs w:val="36"/>
        </w:rPr>
        <w:t>毕业生总体就业率和签约率</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截止到 2019 年8月25日，学校 2019届毕业生就业率为 98.12%，毕业生签约率88.96%。（图1-4所示）</w:t>
      </w:r>
    </w:p>
    <w:p>
      <w:pPr>
        <w:pStyle w:val="2"/>
        <w:spacing w:line="360" w:lineRule="auto"/>
        <w:ind w:firstLine="480" w:firstLineChars="200"/>
        <w:jc w:val="left"/>
        <w:rPr>
          <w:rFonts w:ascii="宋体" w:hAnsi="宋体" w:eastAsia="宋体" w:cs="宋体"/>
          <w:kern w:val="0"/>
          <w:sz w:val="24"/>
          <w:szCs w:val="24"/>
          <w:shd w:val="clear" w:color="auto" w:fill="FFFFFF"/>
          <w:lang w:val="en-US"/>
        </w:rPr>
      </w:pPr>
    </w:p>
    <w:p>
      <w:pPr>
        <w:jc w:val="center"/>
      </w:pPr>
      <w:r>
        <w:drawing>
          <wp:inline distT="0" distB="0" distL="114300" distR="114300">
            <wp:extent cx="4572000" cy="2743200"/>
            <wp:effectExtent l="4445" t="4445" r="14605" b="14605"/>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center"/>
        <w:rPr>
          <w:rFonts w:ascii="微软雅黑" w:hAnsi="微软雅黑" w:eastAsia="微软雅黑" w:cs="微软雅黑"/>
          <w:b/>
          <w:bCs/>
          <w:sz w:val="20"/>
          <w:szCs w:val="20"/>
        </w:rPr>
      </w:pPr>
      <w:r>
        <w:rPr>
          <w:rFonts w:hint="eastAsia" w:ascii="微软雅黑" w:hAnsi="微软雅黑" w:eastAsia="微软雅黑" w:cs="微软雅黑"/>
          <w:b/>
          <w:bCs/>
          <w:sz w:val="20"/>
          <w:szCs w:val="20"/>
        </w:rPr>
        <w:t>图1-4 毕业生总体就业率和签约率</w:t>
      </w:r>
    </w:p>
    <w:p>
      <w:pPr>
        <w:pStyle w:val="2"/>
        <w:ind w:firstLine="402" w:firstLineChars="200"/>
        <w:jc w:val="left"/>
        <w:rPr>
          <w:rFonts w:ascii="黑体" w:hAnsi="黑体" w:eastAsia="黑体" w:cs="黑体"/>
          <w:b/>
          <w:bCs/>
          <w:color w:val="333333"/>
          <w:kern w:val="0"/>
          <w:sz w:val="20"/>
          <w:szCs w:val="20"/>
          <w:shd w:val="clear" w:color="auto" w:fill="FFFFFF"/>
          <w:lang w:val="en-US"/>
        </w:rPr>
      </w:pPr>
      <w:r>
        <w:rPr>
          <w:rFonts w:hint="eastAsia" w:ascii="黑体" w:hAnsi="黑体" w:eastAsia="黑体" w:cs="黑体"/>
          <w:b/>
          <w:bCs/>
          <w:color w:val="333333"/>
          <w:kern w:val="0"/>
          <w:sz w:val="20"/>
          <w:szCs w:val="20"/>
          <w:shd w:val="clear" w:color="auto" w:fill="FFFFFF"/>
          <w:lang w:val="en-US"/>
        </w:rPr>
        <w:t>注：</w:t>
      </w:r>
    </w:p>
    <w:p>
      <w:pPr>
        <w:pStyle w:val="2"/>
        <w:ind w:firstLine="402" w:firstLineChars="200"/>
        <w:jc w:val="left"/>
        <w:rPr>
          <w:rFonts w:ascii="黑体" w:hAnsi="黑体" w:eastAsia="黑体" w:cs="黑体"/>
          <w:b/>
          <w:bCs/>
          <w:color w:val="333333"/>
          <w:kern w:val="0"/>
          <w:sz w:val="20"/>
          <w:szCs w:val="20"/>
          <w:shd w:val="clear" w:color="auto" w:fill="FFFFFF"/>
          <w:lang w:val="en-US"/>
        </w:rPr>
      </w:pPr>
      <w:r>
        <w:rPr>
          <w:rFonts w:hint="eastAsia" w:ascii="黑体" w:hAnsi="黑体" w:eastAsia="黑体" w:cs="黑体"/>
          <w:b/>
          <w:bCs/>
          <w:color w:val="333333"/>
          <w:kern w:val="0"/>
          <w:sz w:val="20"/>
          <w:szCs w:val="20"/>
          <w:shd w:val="clear" w:color="auto" w:fill="FFFFFF"/>
          <w:lang w:val="en-US"/>
        </w:rPr>
        <w:t>已就业包括：派遣、考研、考双、出国、专升本、定向委培、国家地方项目；</w:t>
      </w:r>
    </w:p>
    <w:p>
      <w:pPr>
        <w:pStyle w:val="2"/>
        <w:ind w:firstLine="402" w:firstLineChars="200"/>
        <w:jc w:val="left"/>
        <w:rPr>
          <w:rFonts w:ascii="黑体" w:hAnsi="黑体" w:eastAsia="黑体" w:cs="黑体"/>
          <w:b/>
          <w:bCs/>
          <w:color w:val="333333"/>
          <w:kern w:val="0"/>
          <w:sz w:val="20"/>
          <w:szCs w:val="20"/>
          <w:shd w:val="clear" w:color="auto" w:fill="FFFFFF"/>
          <w:lang w:val="en-US"/>
        </w:rPr>
      </w:pPr>
      <w:r>
        <w:rPr>
          <w:rFonts w:hint="eastAsia" w:ascii="黑体" w:hAnsi="黑体" w:eastAsia="黑体" w:cs="黑体"/>
          <w:b/>
          <w:bCs/>
          <w:color w:val="333333"/>
          <w:kern w:val="0"/>
          <w:sz w:val="20"/>
          <w:szCs w:val="20"/>
          <w:shd w:val="clear" w:color="auto" w:fill="FFFFFF"/>
          <w:lang w:val="en-US"/>
        </w:rPr>
        <w:t>签约率=([派遣+考研、考双、专升本)+出国+国家地方项目]/总人数)*100.00%；</w:t>
      </w:r>
    </w:p>
    <w:p>
      <w:pPr>
        <w:ind w:firstLine="402" w:firstLineChars="200"/>
        <w:jc w:val="left"/>
        <w:rPr>
          <w:rFonts w:ascii="黑体" w:hAnsi="黑体" w:eastAsia="黑体" w:cs="黑体"/>
          <w:b/>
          <w:bCs/>
          <w:color w:val="333333"/>
          <w:kern w:val="0"/>
          <w:sz w:val="20"/>
          <w:szCs w:val="20"/>
          <w:shd w:val="clear" w:color="auto" w:fill="FFFFFF"/>
        </w:rPr>
      </w:pPr>
      <w:r>
        <w:rPr>
          <w:rFonts w:hint="eastAsia" w:ascii="黑体" w:hAnsi="黑体" w:eastAsia="黑体" w:cs="黑体"/>
          <w:b/>
          <w:bCs/>
          <w:color w:val="333333"/>
          <w:kern w:val="0"/>
          <w:sz w:val="20"/>
          <w:szCs w:val="20"/>
          <w:shd w:val="clear" w:color="auto" w:fill="FFFFFF"/>
        </w:rPr>
        <w:t>就业率=[已就业人数/总人数]*100.00%。</w:t>
      </w:r>
    </w:p>
    <w:p>
      <w:pPr>
        <w:ind w:firstLine="402" w:firstLineChars="200"/>
        <w:jc w:val="left"/>
        <w:rPr>
          <w:rFonts w:ascii="黑体" w:hAnsi="黑体" w:eastAsia="黑体" w:cs="黑体"/>
          <w:b/>
          <w:bCs/>
          <w:color w:val="333333"/>
          <w:kern w:val="0"/>
          <w:sz w:val="20"/>
          <w:szCs w:val="20"/>
          <w:shd w:val="clear" w:color="auto" w:fill="FFFFFF"/>
        </w:rPr>
      </w:pPr>
    </w:p>
    <w:p>
      <w:pPr>
        <w:numPr>
          <w:ilvl w:val="0"/>
          <w:numId w:val="4"/>
        </w:numPr>
        <w:spacing w:line="600" w:lineRule="auto"/>
        <w:outlineLvl w:val="1"/>
        <w:rPr>
          <w:rFonts w:ascii="黑体" w:hAnsi="黑体" w:eastAsia="黑体" w:cs="黑体"/>
          <w:b/>
          <w:bCs/>
          <w:sz w:val="28"/>
          <w:szCs w:val="36"/>
        </w:rPr>
      </w:pPr>
      <w:bookmarkStart w:id="245" w:name="_Toc7099"/>
      <w:bookmarkStart w:id="246" w:name="_Toc7901"/>
      <w:bookmarkStart w:id="247" w:name="_Toc26348"/>
      <w:bookmarkStart w:id="248" w:name="_Toc27319"/>
      <w:bookmarkStart w:id="249" w:name="_Toc23652"/>
      <w:bookmarkStart w:id="250" w:name="_Toc1844"/>
      <w:bookmarkStart w:id="251" w:name="_Toc24118"/>
      <w:bookmarkStart w:id="252" w:name="_Toc10042"/>
      <w:bookmarkStart w:id="253" w:name="_Toc16647"/>
      <w:bookmarkStart w:id="254" w:name="_Toc28523"/>
      <w:bookmarkStart w:id="255" w:name="_Toc1840"/>
      <w:bookmarkStart w:id="256" w:name="_Toc20579"/>
      <w:bookmarkStart w:id="257" w:name="_Toc32353"/>
      <w:bookmarkStart w:id="258" w:name="_Toc17199"/>
      <w:bookmarkStart w:id="259" w:name="_Toc9778"/>
      <w:bookmarkStart w:id="260" w:name="_Toc15435"/>
      <w:bookmarkStart w:id="261" w:name="_Toc32315"/>
      <w:bookmarkStart w:id="262" w:name="_Toc3878"/>
      <w:bookmarkStart w:id="263" w:name="_Toc30048"/>
      <w:bookmarkStart w:id="264" w:name="_Toc10867"/>
      <w:bookmarkStart w:id="265" w:name="_Toc25314"/>
      <w:bookmarkStart w:id="266" w:name="_Toc27047"/>
      <w:bookmarkStart w:id="267" w:name="_Toc27712"/>
      <w:bookmarkStart w:id="268" w:name="_Toc2514"/>
      <w:bookmarkStart w:id="269" w:name="_Toc10481"/>
      <w:bookmarkStart w:id="270" w:name="_Toc26332"/>
      <w:bookmarkStart w:id="271" w:name="_Toc7639"/>
      <w:bookmarkStart w:id="272" w:name="_Toc19739"/>
      <w:bookmarkStart w:id="273" w:name="_Toc32533"/>
      <w:bookmarkStart w:id="274" w:name="_Toc28385"/>
      <w:bookmarkStart w:id="275" w:name="_Toc25010"/>
      <w:r>
        <w:rPr>
          <w:rFonts w:hint="eastAsia" w:ascii="黑体" w:hAnsi="黑体" w:eastAsia="黑体" w:cs="黑体"/>
          <w:b/>
          <w:bCs/>
          <w:sz w:val="28"/>
          <w:szCs w:val="36"/>
        </w:rPr>
        <w:t>各二级学院毕业生的就业率和签约率</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从各个学院就业率来看，“经管学院”的就业率较高，达到99.69%。</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另外，“经管学院”和“艺术学院”的就业率高于学校的就业率（98.12%），“信息学院学院”的就业率较低，为96.12%。（图1-5所示）</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560" w:firstLineChars="200"/>
        <w:jc w:val="center"/>
        <w:rPr>
          <w:rFonts w:ascii="宋体" w:hAnsi="宋体" w:eastAsia="宋体" w:cs="宋体"/>
          <w:color w:val="FF0000"/>
          <w:kern w:val="0"/>
          <w:sz w:val="24"/>
          <w:szCs w:val="24"/>
          <w:shd w:val="clear" w:color="auto" w:fill="FFFFFF"/>
          <w:lang w:val="en-US"/>
        </w:rPr>
      </w:pPr>
      <w:r>
        <w:rPr>
          <w:lang w:val="en-US" w:bidi="ar-SA"/>
        </w:rPr>
        <w:drawing>
          <wp:inline distT="0" distB="0" distL="114300" distR="114300">
            <wp:extent cx="4572000" cy="2743200"/>
            <wp:effectExtent l="4445" t="4445" r="14605" b="14605"/>
            <wp:docPr id="1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spacing w:line="360" w:lineRule="auto"/>
        <w:ind w:firstLine="400" w:firstLineChars="200"/>
        <w:jc w:val="center"/>
        <w:rPr>
          <w:rFonts w:ascii="宋体" w:hAnsi="宋体" w:eastAsia="宋体" w:cs="宋体"/>
          <w:color w:val="333333"/>
          <w:kern w:val="0"/>
          <w:sz w:val="24"/>
          <w:szCs w:val="24"/>
          <w:shd w:val="clear" w:color="auto" w:fill="FFFFFF"/>
          <w:lang w:val="en-US"/>
        </w:rPr>
      </w:pPr>
      <w:r>
        <w:rPr>
          <w:rFonts w:hint="eastAsia" w:ascii="微软雅黑" w:hAnsi="微软雅黑" w:eastAsia="微软雅黑" w:cs="微软雅黑"/>
          <w:b/>
          <w:bCs/>
          <w:color w:val="333333"/>
          <w:kern w:val="0"/>
          <w:sz w:val="20"/>
          <w:szCs w:val="20"/>
          <w:shd w:val="clear" w:color="auto" w:fill="FFFFFF"/>
          <w:lang w:val="en-US"/>
        </w:rPr>
        <w:t>图1-5 各二级学院毕业生的就业率</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从各个学院签约率来看，“经管学院”的签约率较高，达到99.49%。</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另外，“经管学院”和“艺术学院”的签约率均高于学校的签约率（88.96%）。“护理学院”的签约率较低，为70.34%。（图1-6所示）</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560" w:firstLineChars="200"/>
        <w:jc w:val="center"/>
        <w:rPr>
          <w:rFonts w:ascii="宋体" w:hAnsi="宋体" w:eastAsia="宋体" w:cs="宋体"/>
          <w:color w:val="333333"/>
          <w:kern w:val="0"/>
          <w:sz w:val="24"/>
          <w:szCs w:val="24"/>
          <w:shd w:val="clear" w:color="auto" w:fill="FFFFFF"/>
          <w:lang w:val="en-US"/>
        </w:rPr>
      </w:pPr>
      <w:r>
        <w:rPr>
          <w:lang w:val="en-US" w:bidi="ar-SA"/>
        </w:rPr>
        <w:drawing>
          <wp:inline distT="0" distB="0" distL="114300" distR="114300">
            <wp:extent cx="4572000" cy="2743200"/>
            <wp:effectExtent l="4445" t="4445" r="14605" b="14605"/>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spacing w:line="480" w:lineRule="auto"/>
        <w:jc w:val="center"/>
        <w:rPr>
          <w:rFonts w:ascii="黑体" w:hAnsi="黑体" w:eastAsia="黑体" w:cs="黑体"/>
          <w:b/>
          <w:bCs/>
          <w:color w:val="333333"/>
          <w:kern w:val="0"/>
          <w:sz w:val="21"/>
          <w:szCs w:val="21"/>
          <w:shd w:val="clear" w:color="auto" w:fill="FFFFFF"/>
          <w:lang w:val="en-US"/>
        </w:rPr>
      </w:pPr>
      <w:r>
        <w:rPr>
          <w:rFonts w:hint="eastAsia" w:ascii="微软雅黑" w:hAnsi="微软雅黑" w:eastAsia="微软雅黑" w:cs="微软雅黑"/>
          <w:b/>
          <w:bCs/>
          <w:color w:val="333333"/>
          <w:kern w:val="0"/>
          <w:sz w:val="20"/>
          <w:szCs w:val="20"/>
          <w:shd w:val="clear" w:color="auto" w:fill="FFFFFF"/>
          <w:lang w:val="en-US"/>
        </w:rPr>
        <w:t>图1-6 各二级学院毕业生的签约率</w:t>
      </w:r>
    </w:p>
    <w:p>
      <w:pPr>
        <w:numPr>
          <w:ilvl w:val="0"/>
          <w:numId w:val="4"/>
        </w:numPr>
        <w:spacing w:line="600" w:lineRule="auto"/>
        <w:outlineLvl w:val="1"/>
        <w:rPr>
          <w:rFonts w:ascii="黑体" w:hAnsi="黑体" w:eastAsia="黑体" w:cs="黑体"/>
          <w:b/>
          <w:bCs/>
          <w:sz w:val="28"/>
          <w:szCs w:val="36"/>
        </w:rPr>
      </w:pPr>
      <w:bookmarkStart w:id="276" w:name="_Toc7643"/>
      <w:bookmarkStart w:id="277" w:name="_Toc8134"/>
      <w:bookmarkStart w:id="278" w:name="_Toc16540"/>
      <w:bookmarkStart w:id="279" w:name="_Toc15247"/>
      <w:bookmarkStart w:id="280" w:name="_Toc31495"/>
      <w:bookmarkStart w:id="281" w:name="_Toc21838"/>
      <w:bookmarkStart w:id="282" w:name="_Toc4308"/>
      <w:bookmarkStart w:id="283" w:name="_Toc12737"/>
      <w:bookmarkStart w:id="284" w:name="_Toc6518"/>
      <w:bookmarkStart w:id="285" w:name="_Toc10260"/>
      <w:bookmarkStart w:id="286" w:name="_Toc23758"/>
      <w:bookmarkStart w:id="287" w:name="_Toc28051"/>
      <w:bookmarkStart w:id="288" w:name="_Toc22822"/>
      <w:bookmarkStart w:id="289" w:name="_Toc25015"/>
      <w:bookmarkStart w:id="290" w:name="_Toc16884"/>
      <w:bookmarkStart w:id="291" w:name="_Toc32461"/>
      <w:bookmarkStart w:id="292" w:name="_Toc138"/>
      <w:bookmarkStart w:id="293" w:name="_Toc8919"/>
      <w:bookmarkStart w:id="294" w:name="_Toc11995"/>
      <w:bookmarkStart w:id="295" w:name="_Toc30881"/>
      <w:bookmarkStart w:id="296" w:name="_Toc8515"/>
      <w:bookmarkStart w:id="297" w:name="_Toc18646"/>
      <w:bookmarkStart w:id="298" w:name="_Toc3245"/>
      <w:bookmarkStart w:id="299" w:name="_Toc12964"/>
      <w:bookmarkStart w:id="300" w:name="_Toc13859"/>
      <w:bookmarkStart w:id="301" w:name="_Toc7398"/>
      <w:bookmarkStart w:id="302" w:name="_Toc17285"/>
      <w:bookmarkStart w:id="303" w:name="_Toc17653"/>
      <w:bookmarkStart w:id="304" w:name="_Toc29125"/>
      <w:bookmarkStart w:id="305" w:name="_Toc1120"/>
      <w:bookmarkStart w:id="306" w:name="_Toc14003"/>
      <w:r>
        <w:rPr>
          <w:rFonts w:hint="eastAsia" w:ascii="黑体" w:hAnsi="黑体" w:eastAsia="黑体" w:cs="黑体"/>
          <w:b/>
          <w:bCs/>
          <w:sz w:val="28"/>
          <w:szCs w:val="36"/>
        </w:rPr>
        <w:t>各专业毕业生的就业率和签约率</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kern w:val="0"/>
          <w:sz w:val="24"/>
          <w:szCs w:val="24"/>
          <w:shd w:val="clear" w:color="auto" w:fill="FFFFFF"/>
          <w:lang w:val="en-US"/>
        </w:rPr>
        <w:t>数据显示，服装设计、服装与服饰设计、环境艺术设计、艺术设计(广告与展示设计)、报关与国际货运、采购与供应管理、电子商务(跨境电商)、工商企业管理、国际商务、金融管理、酒店管理(烘焙与饮品)、连锁经营管理(港澳台合作)、连锁经营管理(中高职贯通培养)、旅游管理(出境旅游计调)、旅游管理(中高职贯通培养)等15个专业的就业率和签约率均达到</w:t>
      </w:r>
      <w:r>
        <w:rPr>
          <w:rFonts w:hint="eastAsia" w:ascii="宋体" w:hAnsi="宋体" w:eastAsia="宋体" w:cs="宋体"/>
          <w:color w:val="333333"/>
          <w:kern w:val="0"/>
          <w:sz w:val="24"/>
          <w:szCs w:val="24"/>
          <w:shd w:val="clear" w:color="auto" w:fill="FFFFFF"/>
          <w:lang w:val="en-US"/>
        </w:rPr>
        <w:t>100%。</w:t>
      </w:r>
    </w:p>
    <w:p>
      <w:pPr>
        <w:pStyle w:val="2"/>
        <w:spacing w:line="360" w:lineRule="auto"/>
        <w:ind w:firstLine="480" w:firstLineChars="200"/>
        <w:jc w:val="left"/>
        <w:rPr>
          <w:rFonts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rPr>
        <w:t>护理(港澳台合作)、服装设计、服装与服饰设计、环境艺术设计、艺术设计(广告与展示设计)、应用艺术设计（环境设计）、应用艺术设计(展示设计)、报关与国际货运、采购与供应管理、电子商务、电子商务(跨境电商)、工商企业管理等21个专业的就业率达到100%。</w:t>
      </w:r>
    </w:p>
    <w:p>
      <w:pPr>
        <w:pStyle w:val="2"/>
        <w:spacing w:line="360" w:lineRule="auto"/>
        <w:ind w:firstLine="480" w:firstLineChars="200"/>
        <w:jc w:val="left"/>
        <w:rPr>
          <w:rFonts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rPr>
        <w:t>服装与服饰设计、环境艺术设计、艺术设计(广告与展示设计)报关与国际货运、采购与供应管理等15个专业的签约率达到100%。（表1-3所示）</w:t>
      </w:r>
    </w:p>
    <w:p>
      <w:pPr>
        <w:pStyle w:val="2"/>
        <w:spacing w:line="360" w:lineRule="auto"/>
        <w:jc w:val="center"/>
        <w:rPr>
          <w:rFonts w:ascii="黑体" w:hAnsi="黑体" w:eastAsia="黑体" w:cs="黑体"/>
          <w:b/>
          <w:bCs/>
          <w:color w:val="333333"/>
          <w:kern w:val="0"/>
          <w:sz w:val="21"/>
          <w:szCs w:val="21"/>
          <w:shd w:val="clear" w:color="auto" w:fill="FFFFFF"/>
          <w:lang w:val="en-US"/>
        </w:rPr>
      </w:pPr>
      <w:r>
        <w:rPr>
          <w:rFonts w:hint="eastAsia" w:ascii="微软雅黑" w:hAnsi="微软雅黑" w:eastAsia="微软雅黑" w:cs="微软雅黑"/>
          <w:b/>
          <w:bCs/>
          <w:color w:val="333333"/>
          <w:kern w:val="0"/>
          <w:sz w:val="20"/>
          <w:szCs w:val="20"/>
          <w:shd w:val="clear" w:color="auto" w:fill="FFFFFF"/>
          <w:lang w:val="en-US"/>
        </w:rPr>
        <w:t>表1-3各专业毕业生的就业率和签约率</w:t>
      </w:r>
    </w:p>
    <w:tbl>
      <w:tblPr>
        <w:tblStyle w:val="9"/>
        <w:tblW w:w="8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9"/>
        <w:gridCol w:w="3292"/>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序号</w:t>
            </w:r>
          </w:p>
        </w:tc>
        <w:tc>
          <w:tcPr>
            <w:tcW w:w="3292"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专业</w:t>
            </w:r>
          </w:p>
        </w:tc>
        <w:tc>
          <w:tcPr>
            <w:tcW w:w="1260"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人数</w:t>
            </w:r>
          </w:p>
        </w:tc>
        <w:tc>
          <w:tcPr>
            <w:tcW w:w="1260"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就业率</w:t>
            </w:r>
          </w:p>
        </w:tc>
        <w:tc>
          <w:tcPr>
            <w:tcW w:w="1260"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签约率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护理(港澳台合作)</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服装设计</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服装与服饰设计</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环境艺术设计</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艺术设计(广告与展示设计)</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52</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应用艺术设计（环境设计）</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应用艺术设计(展示设计)</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报关与国际货运</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56</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采购与供应管理</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电子商务</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73</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电子商务(跨境电商)</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工商企业管理</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国际商务</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金融管理</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103</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酒店管理(烘焙与饮品)</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73</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连锁经营管理(港澳台合作)</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连锁经营管理(中高职贯通培养)</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旅游管理(出境旅游计调)</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39</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旅游管理(中高职贯通培养)</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43</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物流管理</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电气自动化技术</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会计</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258</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99.61%</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艺术设计(室内与景观设计)</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86</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98.84%</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软件技术</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76</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98.68%</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传播与策划</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51</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98.04%</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护理</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555</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97.84%</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护理(涉外护理)</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97.14%</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商务英语</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96.92%</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物联网应用技术</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数字媒体艺术设计(动漫制作)</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48</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95.83%</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会展策划与管理</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95.74%</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计算机应用技术</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67</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95.52%</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机电一体化技术</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106</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94.34%</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w:t>
            </w:r>
          </w:p>
        </w:tc>
        <w:tc>
          <w:tcPr>
            <w:tcW w:w="32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计算机网络技术</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93.94%</w:t>
            </w:r>
          </w:p>
        </w:tc>
        <w:tc>
          <w:tcPr>
            <w:tcW w:w="126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25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w:t>
            </w:r>
          </w:p>
        </w:tc>
        <w:tc>
          <w:tcPr>
            <w:tcW w:w="32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健康管理</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71.43%</w:t>
            </w:r>
          </w:p>
        </w:tc>
        <w:tc>
          <w:tcPr>
            <w:tcW w:w="126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67.86%</w:t>
            </w:r>
          </w:p>
        </w:tc>
      </w:tr>
    </w:tbl>
    <w:p>
      <w:pPr>
        <w:pStyle w:val="2"/>
        <w:spacing w:line="360" w:lineRule="auto"/>
        <w:ind w:firstLine="420"/>
        <w:jc w:val="left"/>
        <w:rPr>
          <w:rFonts w:ascii="微软雅黑" w:hAnsi="微软雅黑" w:eastAsia="微软雅黑" w:cs="微软雅黑"/>
          <w:b/>
          <w:bCs/>
          <w:color w:val="000000"/>
          <w:kern w:val="0"/>
          <w:sz w:val="20"/>
          <w:szCs w:val="20"/>
          <w:lang w:val="en-US"/>
        </w:rPr>
      </w:pPr>
      <w:r>
        <w:rPr>
          <w:rFonts w:hint="eastAsia" w:ascii="微软雅黑" w:hAnsi="微软雅黑" w:eastAsia="微软雅黑" w:cs="微软雅黑"/>
          <w:b/>
          <w:bCs/>
          <w:kern w:val="0"/>
          <w:sz w:val="20"/>
          <w:szCs w:val="20"/>
          <w:shd w:val="clear" w:color="auto" w:fill="FFFFFF"/>
          <w:lang w:val="en-US"/>
        </w:rPr>
        <w:t>注：本表按照各个专业的就业率由高到低排序。</w:t>
      </w:r>
    </w:p>
    <w:p>
      <w:pPr>
        <w:numPr>
          <w:ilvl w:val="0"/>
          <w:numId w:val="4"/>
        </w:numPr>
        <w:spacing w:line="600" w:lineRule="auto"/>
        <w:outlineLvl w:val="1"/>
        <w:rPr>
          <w:rFonts w:ascii="黑体" w:hAnsi="黑体" w:eastAsia="黑体" w:cs="黑体"/>
          <w:b/>
          <w:bCs/>
          <w:sz w:val="28"/>
          <w:szCs w:val="36"/>
        </w:rPr>
      </w:pPr>
      <w:bookmarkStart w:id="307" w:name="_Toc19028"/>
      <w:bookmarkStart w:id="308" w:name="_Toc28246"/>
      <w:bookmarkStart w:id="309" w:name="_Toc15509"/>
      <w:bookmarkStart w:id="310" w:name="_Toc31807"/>
      <w:bookmarkStart w:id="311" w:name="_Toc9567"/>
      <w:bookmarkStart w:id="312" w:name="_Toc29283"/>
      <w:bookmarkStart w:id="313" w:name="_Toc14850"/>
      <w:bookmarkStart w:id="314" w:name="_Toc31357"/>
      <w:bookmarkStart w:id="315" w:name="_Toc17360"/>
      <w:bookmarkStart w:id="316" w:name="_Toc27472"/>
      <w:bookmarkStart w:id="317" w:name="_Toc29749"/>
      <w:bookmarkStart w:id="318" w:name="_Toc20551"/>
      <w:bookmarkStart w:id="319" w:name="_Toc20164"/>
      <w:bookmarkStart w:id="320" w:name="_Toc2894"/>
      <w:bookmarkStart w:id="321" w:name="_Toc22750"/>
      <w:bookmarkStart w:id="322" w:name="_Toc1936"/>
      <w:bookmarkStart w:id="323" w:name="_Toc1244"/>
      <w:bookmarkStart w:id="324" w:name="_Toc6588"/>
      <w:bookmarkStart w:id="325" w:name="_Toc30403"/>
      <w:bookmarkStart w:id="326" w:name="_Toc23885"/>
      <w:bookmarkStart w:id="327" w:name="_Toc2270"/>
      <w:bookmarkStart w:id="328" w:name="_Toc25494"/>
      <w:bookmarkStart w:id="329" w:name="_Toc17520"/>
      <w:bookmarkStart w:id="330" w:name="_Toc5294"/>
      <w:bookmarkStart w:id="331" w:name="_Toc29459"/>
      <w:bookmarkStart w:id="332" w:name="_Toc10246"/>
      <w:bookmarkStart w:id="333" w:name="_Toc12678"/>
      <w:bookmarkStart w:id="334" w:name="_Toc5209"/>
      <w:bookmarkStart w:id="335" w:name="_Toc29568"/>
      <w:bookmarkStart w:id="336" w:name="_Toc183"/>
      <w:bookmarkStart w:id="337" w:name="_Toc5991"/>
      <w:r>
        <w:rPr>
          <w:rFonts w:hint="eastAsia" w:ascii="黑体" w:hAnsi="黑体" w:eastAsia="黑体" w:cs="黑体"/>
          <w:b/>
          <w:bCs/>
          <w:sz w:val="28"/>
          <w:szCs w:val="36"/>
        </w:rPr>
        <w:t>各生源地区毕业生的就业率和签约率</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spacing w:line="360" w:lineRule="auto"/>
        <w:ind w:firstLine="480" w:firstLineChars="200"/>
        <w:jc w:val="left"/>
        <w:rPr>
          <w:rFonts w:ascii="宋体" w:hAnsi="宋体" w:cs="宋体"/>
          <w:color w:val="333333"/>
          <w:kern w:val="0"/>
          <w:sz w:val="24"/>
          <w:shd w:val="clear" w:color="auto" w:fill="FFFFFF"/>
        </w:rPr>
      </w:pPr>
      <w:r>
        <w:rPr>
          <w:rFonts w:hint="eastAsia" w:ascii="宋体" w:hAnsi="宋体" w:cs="宋体"/>
          <w:color w:val="333333"/>
          <w:kern w:val="0"/>
          <w:sz w:val="24"/>
          <w:shd w:val="clear" w:color="auto" w:fill="FFFFFF"/>
        </w:rPr>
        <w:t>来自河北省、内蒙古自治区、辽宁省、吉林省、福建省、山东省、河南省、湖北省、广东省、广西壮族自治区、重庆市、贵州省、云南省、陕西省、甘肃省、青海省、宁夏回族自治区、新疆维吾尔自治区、台湾省等19个生源地区的2019届毕业生的就业率均达到100%。</w:t>
      </w:r>
    </w:p>
    <w:p>
      <w:pPr>
        <w:spacing w:line="360" w:lineRule="auto"/>
        <w:ind w:firstLine="480" w:firstLineChars="200"/>
        <w:jc w:val="left"/>
        <w:rPr>
          <w:rFonts w:ascii="宋体" w:hAnsi="宋体" w:cs="宋体"/>
          <w:color w:val="333333"/>
          <w:kern w:val="0"/>
          <w:sz w:val="24"/>
          <w:shd w:val="clear" w:color="auto" w:fill="FFFFFF"/>
        </w:rPr>
      </w:pPr>
      <w:r>
        <w:rPr>
          <w:rFonts w:hint="eastAsia" w:ascii="宋体" w:hAnsi="宋体" w:cs="宋体"/>
          <w:color w:val="333333"/>
          <w:kern w:val="0"/>
          <w:sz w:val="24"/>
          <w:shd w:val="clear" w:color="auto" w:fill="FFFFFF"/>
        </w:rPr>
        <w:t>另外，来自河北省、吉林省、福建省、广西壮族自治区、陕西省、宁夏回族自治区、台湾省等7个生源地区的2019届毕业生的签约率和就业率均达到100.00%。（表1-4所示）</w:t>
      </w:r>
    </w:p>
    <w:p>
      <w:pPr>
        <w:spacing w:line="480" w:lineRule="auto"/>
        <w:ind w:firstLine="400" w:firstLineChars="200"/>
        <w:jc w:val="center"/>
        <w:rPr>
          <w:rFonts w:ascii="宋体" w:hAnsi="宋体" w:cs="宋体"/>
          <w:color w:val="333333"/>
          <w:kern w:val="0"/>
          <w:sz w:val="24"/>
          <w:shd w:val="clear" w:color="auto" w:fill="FFFFFF"/>
        </w:rPr>
      </w:pPr>
      <w:r>
        <w:rPr>
          <w:rFonts w:hint="eastAsia" w:ascii="微软雅黑" w:hAnsi="微软雅黑" w:eastAsia="微软雅黑" w:cs="微软雅黑"/>
          <w:b/>
          <w:bCs/>
          <w:kern w:val="0"/>
          <w:sz w:val="20"/>
          <w:szCs w:val="20"/>
          <w:shd w:val="clear" w:color="auto" w:fill="FFFFFF"/>
        </w:rPr>
        <w:t>表1-4 各生源地区毕业生的就业率和签约率</w:t>
      </w:r>
    </w:p>
    <w:tbl>
      <w:tblPr>
        <w:tblStyle w:val="9"/>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9"/>
        <w:gridCol w:w="1472"/>
        <w:gridCol w:w="1097"/>
        <w:gridCol w:w="1095"/>
        <w:gridCol w:w="1097"/>
        <w:gridCol w:w="1095"/>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shd w:val="clear" w:color="auto" w:fill="4F81BD"/>
            <w:tcMar>
              <w:top w:w="15" w:type="dxa"/>
              <w:left w:w="15" w:type="dxa"/>
              <w:right w:w="15" w:type="dxa"/>
            </w:tcMar>
            <w:vAlign w:val="center"/>
          </w:tcPr>
          <w:p>
            <w:pPr>
              <w:jc w:val="center"/>
              <w:rPr>
                <w:rFonts w:ascii="宋体" w:hAnsi="宋体" w:cs="宋体"/>
                <w:color w:val="FFFFFF"/>
                <w:sz w:val="24"/>
              </w:rPr>
            </w:pPr>
            <w:r>
              <w:rPr>
                <w:rFonts w:hint="eastAsia" w:ascii="宋体" w:hAnsi="宋体" w:cs="宋体"/>
                <w:color w:val="FFFFFF"/>
                <w:sz w:val="24"/>
              </w:rPr>
              <w:t>生源地区</w:t>
            </w:r>
          </w:p>
        </w:tc>
        <w:tc>
          <w:tcPr>
            <w:tcW w:w="1472" w:type="dxa"/>
            <w:shd w:val="clear" w:color="auto" w:fill="4F81BD"/>
            <w:tcMar>
              <w:top w:w="15" w:type="dxa"/>
              <w:left w:w="15" w:type="dxa"/>
              <w:right w:w="15" w:type="dxa"/>
            </w:tcMar>
            <w:vAlign w:val="center"/>
          </w:tcPr>
          <w:p>
            <w:pPr>
              <w:jc w:val="center"/>
              <w:rPr>
                <w:rFonts w:ascii="宋体" w:hAnsi="宋体" w:cs="宋体"/>
                <w:color w:val="FFFFFF"/>
                <w:sz w:val="24"/>
              </w:rPr>
            </w:pPr>
            <w:r>
              <w:rPr>
                <w:rFonts w:hint="eastAsia" w:ascii="宋体" w:hAnsi="宋体" w:cs="宋体"/>
                <w:color w:val="FFFFFF"/>
                <w:sz w:val="24"/>
              </w:rPr>
              <w:t>就业地区</w:t>
            </w:r>
          </w:p>
        </w:tc>
        <w:tc>
          <w:tcPr>
            <w:tcW w:w="1097" w:type="dxa"/>
            <w:shd w:val="clear" w:color="auto" w:fill="4F81BD"/>
            <w:tcMar>
              <w:top w:w="15" w:type="dxa"/>
              <w:left w:w="15" w:type="dxa"/>
              <w:right w:w="15" w:type="dxa"/>
            </w:tcMar>
            <w:vAlign w:val="center"/>
          </w:tcPr>
          <w:p>
            <w:pPr>
              <w:jc w:val="center"/>
              <w:rPr>
                <w:rFonts w:ascii="宋体" w:hAnsi="宋体" w:cs="宋体"/>
                <w:color w:val="FFFFFF"/>
                <w:sz w:val="24"/>
              </w:rPr>
            </w:pPr>
            <w:r>
              <w:rPr>
                <w:rFonts w:hint="eastAsia" w:ascii="宋体" w:hAnsi="宋体" w:cs="宋体"/>
                <w:color w:val="FFFFFF"/>
                <w:sz w:val="24"/>
              </w:rPr>
              <w:t>总人数</w:t>
            </w:r>
          </w:p>
        </w:tc>
        <w:tc>
          <w:tcPr>
            <w:tcW w:w="1095" w:type="dxa"/>
            <w:shd w:val="clear" w:color="auto" w:fill="4F81BD"/>
            <w:tcMar>
              <w:top w:w="15" w:type="dxa"/>
              <w:left w:w="15" w:type="dxa"/>
              <w:right w:w="15" w:type="dxa"/>
            </w:tcMar>
            <w:vAlign w:val="center"/>
          </w:tcPr>
          <w:p>
            <w:pPr>
              <w:jc w:val="center"/>
              <w:rPr>
                <w:rFonts w:ascii="宋体" w:hAnsi="宋体" w:cs="宋体"/>
                <w:color w:val="FFFFFF"/>
                <w:sz w:val="24"/>
              </w:rPr>
            </w:pPr>
            <w:r>
              <w:rPr>
                <w:rFonts w:hint="eastAsia" w:ascii="宋体" w:hAnsi="宋体" w:cs="宋体"/>
                <w:color w:val="FFFFFF"/>
                <w:sz w:val="24"/>
              </w:rPr>
              <w:t>就业人数</w:t>
            </w:r>
          </w:p>
        </w:tc>
        <w:tc>
          <w:tcPr>
            <w:tcW w:w="1097" w:type="dxa"/>
            <w:shd w:val="clear" w:color="auto" w:fill="4F81BD"/>
            <w:tcMar>
              <w:top w:w="15" w:type="dxa"/>
              <w:left w:w="15" w:type="dxa"/>
              <w:right w:w="15" w:type="dxa"/>
            </w:tcMar>
            <w:vAlign w:val="center"/>
          </w:tcPr>
          <w:p>
            <w:pPr>
              <w:jc w:val="center"/>
              <w:rPr>
                <w:rFonts w:ascii="宋体" w:hAnsi="宋体" w:cs="宋体"/>
                <w:color w:val="FFFFFF"/>
                <w:sz w:val="24"/>
              </w:rPr>
            </w:pPr>
            <w:r>
              <w:rPr>
                <w:rFonts w:hint="eastAsia" w:ascii="宋体" w:hAnsi="宋体" w:cs="宋体"/>
                <w:color w:val="FFFFFF"/>
                <w:sz w:val="24"/>
              </w:rPr>
              <w:t>就业占比</w:t>
            </w:r>
          </w:p>
        </w:tc>
        <w:tc>
          <w:tcPr>
            <w:tcW w:w="1095" w:type="dxa"/>
            <w:shd w:val="clear" w:color="auto" w:fill="4F81BD"/>
            <w:tcMar>
              <w:top w:w="15" w:type="dxa"/>
              <w:left w:w="15" w:type="dxa"/>
              <w:right w:w="15" w:type="dxa"/>
            </w:tcMar>
            <w:vAlign w:val="center"/>
          </w:tcPr>
          <w:p>
            <w:pPr>
              <w:jc w:val="center"/>
              <w:rPr>
                <w:rFonts w:ascii="宋体" w:hAnsi="宋体" w:cs="宋体"/>
                <w:color w:val="FFFFFF"/>
                <w:sz w:val="24"/>
              </w:rPr>
            </w:pPr>
            <w:r>
              <w:rPr>
                <w:rFonts w:hint="eastAsia" w:ascii="宋体" w:hAnsi="宋体" w:cs="宋体"/>
                <w:color w:val="FFFFFF"/>
                <w:sz w:val="24"/>
              </w:rPr>
              <w:t>签约人数</w:t>
            </w:r>
          </w:p>
        </w:tc>
        <w:tc>
          <w:tcPr>
            <w:tcW w:w="1098" w:type="dxa"/>
            <w:shd w:val="clear" w:color="auto" w:fill="4F81BD"/>
            <w:tcMar>
              <w:top w:w="15" w:type="dxa"/>
              <w:left w:w="15" w:type="dxa"/>
              <w:right w:w="15" w:type="dxa"/>
            </w:tcMar>
            <w:vAlign w:val="center"/>
          </w:tcPr>
          <w:p>
            <w:pPr>
              <w:jc w:val="center"/>
              <w:rPr>
                <w:rFonts w:ascii="宋体" w:hAnsi="宋体" w:cs="宋体"/>
                <w:color w:val="FFFFFF"/>
                <w:sz w:val="24"/>
              </w:rPr>
            </w:pPr>
            <w:r>
              <w:rPr>
                <w:rFonts w:hint="eastAsia" w:ascii="宋体" w:hAnsi="宋体" w:cs="宋体"/>
                <w:color w:val="FFFFFF"/>
                <w:sz w:val="24"/>
              </w:rPr>
              <w:t>签约占比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河北省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北京市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天津市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河北省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山西省</w:t>
            </w: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北京市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山西省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13</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13</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20</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19</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江苏省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36</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35</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97.22%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内蒙古自治区</w:t>
            </w: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内蒙古自治区</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辽宁省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辽宁省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19</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19</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17</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吉林省</w:t>
            </w: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吉林省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江苏省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山东省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广东省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黑龙江省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北京市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吉林省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黑龙江省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25</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25</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22</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山东省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广东省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贵州省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40</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97.56%</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36</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天津市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山西省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辽宁省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1034</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1033</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99.90%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946</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江苏省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12</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12</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安徽省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福建省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江西省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山东省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河南省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湖北省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广东省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海南省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重庆市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贵州省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宁夏回族自治区</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新疆维吾尔自治区</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境外</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24</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1112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1087</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97.75%</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998</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江苏省</w:t>
            </w: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北京市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河北省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黑龙江省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江苏省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17</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17</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15</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安徽省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74</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73</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98.65%</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北京市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85</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85</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江苏省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117</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116</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99.15%</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83</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重庆市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宁夏回族自治区</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215</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207</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96.28%</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169</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安徽省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北京市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186</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186</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183</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江苏省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安徽省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50</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38</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江西省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河南省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广东省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海南省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云南省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陕西省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新疆维吾尔自治区</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274</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270</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98.54%</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251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福建省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15</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15</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15</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福建省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广东省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江西省</w:t>
            </w: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北京市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38</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38</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37</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江苏省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安徽省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福建省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江西省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13</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山东省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河南省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广东省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四川省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陕西省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境外</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69</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98.57%</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66</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山东省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北京市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26</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26</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25</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江苏省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山东省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25</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25</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55</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55</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河南省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26</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26</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24</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河南省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贵州省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33</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33</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湖北省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湖北省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湖南省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北京市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湖南省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广东省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重庆市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25</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24</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96.00%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22</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广东省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17</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17</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16</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广东省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29</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29</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22</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广西壮族自治区</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贵州省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48</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48</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广西壮族自治区</w:t>
            </w: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广西壮族自治区</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海南省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北京市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天津市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内蒙古自治区</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16</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16</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15</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江苏省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海南省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35</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35</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35</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60</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98.36%</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58</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重庆市</w:t>
            </w: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内蒙古自治区</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18</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18</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16</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重庆市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20</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39</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39</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四川省</w:t>
            </w: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22</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22</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19</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江苏省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广东省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海南省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重庆市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四川省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贵州省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39</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38</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97.44%</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贵州省</w:t>
            </w: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北京市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17</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17</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17</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广东省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贵州省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18</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18</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15</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38</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38</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35</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云南省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吉林省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13</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13</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13</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湖北省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广东省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四川省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贵州省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云南省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陕西省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35</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35</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陕西省</w:t>
            </w: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陕西省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未就业</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甘肃省</w:t>
            </w: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北京市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江苏省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西藏自治区</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甘肃省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5</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18</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18</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青海省</w:t>
            </w: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四川省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青海省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7</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宁夏回族自治区</w:t>
            </w: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宁夏回族自治区</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4</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8</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restart"/>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新疆维吾尔自治区</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江苏省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2</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浙江省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安徽省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河南省</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FFFFFF"/>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贵州省</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vMerge w:val="continue"/>
            <w:shd w:val="clear" w:color="auto" w:fill="B8CCE4"/>
            <w:tcMar>
              <w:top w:w="15" w:type="dxa"/>
              <w:left w:w="15" w:type="dxa"/>
              <w:right w:w="15" w:type="dxa"/>
            </w:tcMar>
            <w:vAlign w:val="center"/>
          </w:tcPr>
          <w:p>
            <w:pPr>
              <w:jc w:val="center"/>
              <w:rPr>
                <w:rFonts w:ascii="宋体" w:hAnsi="宋体" w:cs="宋体"/>
                <w:color w:val="000000"/>
                <w:sz w:val="24"/>
              </w:rPr>
            </w:pP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新疆维吾尔自治区</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19</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19</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18</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94.74%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379"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台湾省</w:t>
            </w:r>
          </w:p>
        </w:tc>
        <w:tc>
          <w:tcPr>
            <w:tcW w:w="1472"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上海市</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7"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8" w:type="dxa"/>
            <w:shd w:val="clear" w:color="auto" w:fill="B8CCE4"/>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851" w:type="dxa"/>
            <w:gridSpan w:val="2"/>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生源地小计</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7"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c>
          <w:tcPr>
            <w:tcW w:w="1095"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3</w:t>
            </w:r>
          </w:p>
        </w:tc>
        <w:tc>
          <w:tcPr>
            <w:tcW w:w="1098" w:type="dxa"/>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100.00%</w:t>
            </w:r>
          </w:p>
        </w:tc>
      </w:tr>
    </w:tbl>
    <w:p>
      <w:pPr>
        <w:pStyle w:val="2"/>
        <w:spacing w:line="360" w:lineRule="auto"/>
        <w:rPr>
          <w:rFonts w:ascii="宋体" w:hAnsi="宋体" w:cs="宋体"/>
          <w:color w:val="333333"/>
          <w:kern w:val="0"/>
          <w:sz w:val="24"/>
          <w:shd w:val="clear" w:color="auto" w:fill="FFFFFF"/>
          <w:lang w:val="en-US"/>
        </w:rPr>
      </w:pPr>
    </w:p>
    <w:p>
      <w:pPr>
        <w:numPr>
          <w:ilvl w:val="0"/>
          <w:numId w:val="2"/>
        </w:numPr>
        <w:spacing w:line="600" w:lineRule="auto"/>
        <w:outlineLvl w:val="0"/>
        <w:rPr>
          <w:rFonts w:ascii="黑体" w:hAnsi="黑体" w:eastAsia="黑体" w:cs="黑体"/>
          <w:b/>
          <w:bCs/>
          <w:sz w:val="30"/>
          <w:szCs w:val="30"/>
        </w:rPr>
      </w:pPr>
      <w:bookmarkStart w:id="338" w:name="_Toc22764"/>
      <w:bookmarkStart w:id="339" w:name="_Toc27564"/>
      <w:bookmarkStart w:id="340" w:name="_Toc2098"/>
      <w:bookmarkStart w:id="341" w:name="_Toc10009"/>
      <w:bookmarkStart w:id="342" w:name="_Toc20298"/>
      <w:bookmarkStart w:id="343" w:name="_Toc21726"/>
      <w:bookmarkStart w:id="344" w:name="_Toc9538"/>
      <w:bookmarkStart w:id="345" w:name="_Toc72"/>
      <w:bookmarkStart w:id="346" w:name="_Toc1776"/>
      <w:bookmarkStart w:id="347" w:name="_Toc26354"/>
      <w:bookmarkStart w:id="348" w:name="_Toc15239"/>
      <w:bookmarkStart w:id="349" w:name="_Toc1108"/>
      <w:bookmarkStart w:id="350" w:name="_Toc17126"/>
      <w:bookmarkStart w:id="351" w:name="_Toc21218"/>
      <w:bookmarkStart w:id="352" w:name="_Toc30552"/>
      <w:bookmarkStart w:id="353" w:name="_Toc18537"/>
      <w:bookmarkStart w:id="354" w:name="_Toc25258"/>
      <w:bookmarkStart w:id="355" w:name="_Toc28420"/>
      <w:bookmarkStart w:id="356" w:name="_Toc2189"/>
      <w:bookmarkStart w:id="357" w:name="_Toc30771"/>
      <w:bookmarkStart w:id="358" w:name="_Toc20232"/>
      <w:bookmarkStart w:id="359" w:name="_Toc16454"/>
      <w:bookmarkStart w:id="360" w:name="_Toc19956"/>
      <w:bookmarkStart w:id="361" w:name="_Toc12746"/>
      <w:bookmarkStart w:id="362" w:name="_Toc31498"/>
      <w:bookmarkStart w:id="363" w:name="_Toc1498"/>
      <w:bookmarkStart w:id="364" w:name="_Toc8770"/>
      <w:bookmarkStart w:id="365" w:name="_Toc14815"/>
      <w:bookmarkStart w:id="366" w:name="_Toc3275"/>
      <w:bookmarkStart w:id="367" w:name="_Toc24254"/>
      <w:bookmarkStart w:id="368" w:name="_Toc1237"/>
      <w:r>
        <w:rPr>
          <w:rFonts w:hint="eastAsia" w:ascii="黑体" w:hAnsi="黑体" w:eastAsia="黑体" w:cs="黑体"/>
          <w:b/>
          <w:bCs/>
          <w:sz w:val="30"/>
          <w:szCs w:val="30"/>
        </w:rPr>
        <w:t>毕业生的毕业去向分析</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2"/>
        <w:numPr>
          <w:ilvl w:val="0"/>
          <w:numId w:val="5"/>
        </w:numPr>
        <w:spacing w:line="600" w:lineRule="auto"/>
        <w:outlineLvl w:val="1"/>
        <w:rPr>
          <w:rFonts w:ascii="黑体" w:hAnsi="黑体" w:eastAsia="黑体" w:cs="黑体"/>
          <w:b/>
          <w:bCs/>
          <w:lang w:val="en-US"/>
        </w:rPr>
      </w:pPr>
      <w:bookmarkStart w:id="369" w:name="_Toc15025"/>
      <w:bookmarkStart w:id="370" w:name="_Toc14135"/>
      <w:bookmarkStart w:id="371" w:name="_Toc8438"/>
      <w:bookmarkStart w:id="372" w:name="_Toc32687"/>
      <w:bookmarkStart w:id="373" w:name="_Toc17722"/>
      <w:bookmarkStart w:id="374" w:name="_Toc974"/>
      <w:bookmarkStart w:id="375" w:name="_Toc30749"/>
      <w:bookmarkStart w:id="376" w:name="_Toc11596"/>
      <w:bookmarkStart w:id="377" w:name="_Toc30181"/>
      <w:bookmarkStart w:id="378" w:name="_Toc2980"/>
      <w:bookmarkStart w:id="379" w:name="_Toc9946"/>
      <w:bookmarkStart w:id="380" w:name="_Toc20504"/>
      <w:bookmarkStart w:id="381" w:name="_Toc15156"/>
      <w:bookmarkStart w:id="382" w:name="_Toc2964"/>
      <w:bookmarkStart w:id="383" w:name="_Toc4050"/>
      <w:bookmarkStart w:id="384" w:name="_Toc14308"/>
      <w:bookmarkStart w:id="385" w:name="_Toc10336"/>
      <w:bookmarkStart w:id="386" w:name="_Toc16167"/>
      <w:bookmarkStart w:id="387" w:name="_Toc10910"/>
      <w:bookmarkStart w:id="388" w:name="_Toc32318"/>
      <w:bookmarkStart w:id="389" w:name="_Toc21832"/>
      <w:bookmarkStart w:id="390" w:name="_Toc25441"/>
      <w:bookmarkStart w:id="391" w:name="_Toc7648"/>
      <w:bookmarkStart w:id="392" w:name="_Toc16544"/>
      <w:bookmarkStart w:id="393" w:name="_Toc9876"/>
      <w:bookmarkStart w:id="394" w:name="_Toc27846"/>
      <w:bookmarkStart w:id="395" w:name="_Toc24681"/>
      <w:bookmarkStart w:id="396" w:name="_Toc31604"/>
      <w:bookmarkStart w:id="397" w:name="_Toc32003"/>
      <w:bookmarkStart w:id="398" w:name="_Toc20854"/>
      <w:r>
        <w:rPr>
          <w:rFonts w:hint="eastAsia" w:ascii="黑体" w:hAnsi="黑体" w:eastAsia="黑体" w:cs="黑体"/>
          <w:b/>
          <w:bCs/>
          <w:lang w:val="en-US"/>
        </w:rPr>
        <w:t>毕业生毕业去向分布</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学校2019届毕业生以“派遣”为主，人数有1983人，占毕业人数的84.85%。其次是“合同就业”有214人，占毕业人数的9.61%。</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其中选择“升学”的有90人，占毕业人数的3.85%。选择“出国”的有6人，占毕业人数的0.26%。（表1-5所示）</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22" w:firstLineChars="200"/>
        <w:jc w:val="center"/>
        <w:rPr>
          <w:rFonts w:ascii="宋体" w:hAnsi="宋体" w:eastAsia="宋体" w:cs="宋体"/>
          <w:color w:val="333333"/>
          <w:kern w:val="0"/>
          <w:sz w:val="24"/>
          <w:szCs w:val="24"/>
          <w:shd w:val="clear" w:color="auto" w:fill="FFFFFF"/>
          <w:lang w:val="en-US"/>
        </w:rPr>
      </w:pPr>
      <w:r>
        <w:rPr>
          <w:rFonts w:hint="eastAsia" w:ascii="黑体" w:hAnsi="黑体" w:eastAsia="黑体" w:cs="黑体"/>
          <w:b/>
          <w:bCs/>
          <w:color w:val="333333"/>
          <w:kern w:val="0"/>
          <w:sz w:val="21"/>
          <w:szCs w:val="21"/>
          <w:shd w:val="clear" w:color="auto" w:fill="FFFFFF"/>
          <w:lang w:val="en-US"/>
        </w:rPr>
        <w:t>表1-5 毕业生毕业去向分布</w:t>
      </w:r>
    </w:p>
    <w:tbl>
      <w:tblPr>
        <w:tblStyle w:val="9"/>
        <w:tblW w:w="9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932"/>
        <w:gridCol w:w="898"/>
        <w:gridCol w:w="682"/>
        <w:gridCol w:w="682"/>
        <w:gridCol w:w="704"/>
        <w:gridCol w:w="955"/>
        <w:gridCol w:w="1039"/>
        <w:gridCol w:w="972"/>
        <w:gridCol w:w="677"/>
        <w:gridCol w:w="676"/>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4" w:type="dxa"/>
            <w:vMerge w:val="restart"/>
            <w:shd w:val="clear" w:color="auto" w:fill="4F81BD"/>
            <w:tcMar>
              <w:top w:w="15" w:type="dxa"/>
              <w:left w:w="15" w:type="dxa"/>
              <w:right w:w="15" w:type="dxa"/>
            </w:tcMar>
            <w:vAlign w:val="center"/>
          </w:tcPr>
          <w:p>
            <w:pPr>
              <w:widowControl/>
              <w:jc w:val="center"/>
              <w:textAlignment w:val="center"/>
              <w:rPr>
                <w:rFonts w:ascii="宋体" w:hAnsi="宋体" w:cs="宋体"/>
                <w:color w:val="FFFFFF"/>
                <w:sz w:val="22"/>
                <w:szCs w:val="22"/>
              </w:rPr>
            </w:pPr>
            <w:r>
              <w:rPr>
                <w:rFonts w:hint="eastAsia" w:ascii="宋体" w:hAnsi="宋体" w:cs="宋体"/>
                <w:color w:val="FFFFFF"/>
                <w:kern w:val="0"/>
                <w:sz w:val="22"/>
                <w:szCs w:val="22"/>
              </w:rPr>
              <w:t>/</w:t>
            </w:r>
          </w:p>
        </w:tc>
        <w:tc>
          <w:tcPr>
            <w:tcW w:w="932"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毕业人数</w:t>
            </w:r>
          </w:p>
        </w:tc>
        <w:tc>
          <w:tcPr>
            <w:tcW w:w="898"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派遣</w:t>
            </w:r>
          </w:p>
        </w:tc>
        <w:tc>
          <w:tcPr>
            <w:tcW w:w="682"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考研</w:t>
            </w:r>
          </w:p>
        </w:tc>
        <w:tc>
          <w:tcPr>
            <w:tcW w:w="682"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考双</w:t>
            </w:r>
          </w:p>
        </w:tc>
        <w:tc>
          <w:tcPr>
            <w:tcW w:w="704"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出国</w:t>
            </w:r>
          </w:p>
        </w:tc>
        <w:tc>
          <w:tcPr>
            <w:tcW w:w="955"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kern w:val="0"/>
                <w:sz w:val="24"/>
              </w:rPr>
            </w:pPr>
            <w:r>
              <w:rPr>
                <w:rFonts w:hint="eastAsia" w:ascii="宋体" w:hAnsi="宋体" w:cs="宋体"/>
                <w:b/>
                <w:bCs/>
                <w:color w:val="FFFFFF"/>
                <w:kern w:val="0"/>
                <w:sz w:val="24"/>
              </w:rPr>
              <w:t>专升本</w:t>
            </w:r>
          </w:p>
          <w:p>
            <w:pPr>
              <w:widowControl/>
              <w:jc w:val="center"/>
              <w:textAlignment w:val="center"/>
              <w:rPr>
                <w:rFonts w:ascii="宋体" w:hAnsi="宋体" w:cs="宋体"/>
                <w:b/>
                <w:bCs/>
                <w:color w:val="FFFFFF"/>
                <w:sz w:val="24"/>
              </w:rPr>
            </w:pPr>
            <w:r>
              <w:rPr>
                <w:rFonts w:hint="eastAsia" w:ascii="宋体" w:hAnsi="宋体" w:cs="宋体"/>
                <w:b/>
                <w:bCs/>
                <w:color w:val="FFFFFF"/>
                <w:sz w:val="24"/>
              </w:rPr>
              <w:t>(公安)</w:t>
            </w:r>
          </w:p>
        </w:tc>
        <w:tc>
          <w:tcPr>
            <w:tcW w:w="1039"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定向委培</w:t>
            </w:r>
          </w:p>
        </w:tc>
        <w:tc>
          <w:tcPr>
            <w:tcW w:w="972"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国家地方项目</w:t>
            </w:r>
          </w:p>
        </w:tc>
        <w:tc>
          <w:tcPr>
            <w:tcW w:w="677"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合同就业</w:t>
            </w:r>
          </w:p>
        </w:tc>
        <w:tc>
          <w:tcPr>
            <w:tcW w:w="676"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灵活就业</w:t>
            </w:r>
          </w:p>
        </w:tc>
        <w:tc>
          <w:tcPr>
            <w:tcW w:w="944"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待就业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4" w:type="dxa"/>
            <w:vMerge w:val="continue"/>
            <w:shd w:val="clear" w:color="auto" w:fill="B8CCE4"/>
            <w:tcMar>
              <w:top w:w="15" w:type="dxa"/>
              <w:left w:w="15" w:type="dxa"/>
              <w:right w:w="15" w:type="dxa"/>
            </w:tcMar>
            <w:vAlign w:val="center"/>
          </w:tcPr>
          <w:p>
            <w:pPr>
              <w:jc w:val="center"/>
              <w:rPr>
                <w:rFonts w:ascii="宋体" w:hAnsi="宋体" w:cs="宋体"/>
                <w:color w:val="000000"/>
                <w:sz w:val="22"/>
                <w:szCs w:val="22"/>
              </w:rPr>
            </w:pPr>
          </w:p>
        </w:tc>
        <w:tc>
          <w:tcPr>
            <w:tcW w:w="93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2337</w:t>
            </w:r>
          </w:p>
        </w:tc>
        <w:tc>
          <w:tcPr>
            <w:tcW w:w="89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1983</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w:t>
            </w:r>
          </w:p>
        </w:tc>
        <w:tc>
          <w:tcPr>
            <w:tcW w:w="103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97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67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214</w:t>
            </w:r>
          </w:p>
        </w:tc>
        <w:tc>
          <w:tcPr>
            <w:tcW w:w="676"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94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4"/>
              </w:rPr>
              <w:t>占比</w:t>
            </w:r>
          </w:p>
        </w:tc>
        <w:tc>
          <w:tcPr>
            <w:tcW w:w="93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w:t>
            </w:r>
          </w:p>
        </w:tc>
        <w:tc>
          <w:tcPr>
            <w:tcW w:w="89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84.85%</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0.26%</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3.85%</w:t>
            </w:r>
          </w:p>
        </w:tc>
        <w:tc>
          <w:tcPr>
            <w:tcW w:w="103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7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7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9.16%</w:t>
            </w:r>
          </w:p>
        </w:tc>
        <w:tc>
          <w:tcPr>
            <w:tcW w:w="676"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4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1.88%</w:t>
            </w:r>
          </w:p>
        </w:tc>
      </w:tr>
    </w:tbl>
    <w:p>
      <w:pPr>
        <w:ind w:firstLine="402" w:firstLineChars="200"/>
        <w:jc w:val="left"/>
        <w:rPr>
          <w:rFonts w:ascii="黑体" w:hAnsi="黑体" w:eastAsia="黑体" w:cs="黑体"/>
          <w:b/>
          <w:bCs/>
          <w:color w:val="333333"/>
          <w:kern w:val="0"/>
          <w:sz w:val="20"/>
          <w:szCs w:val="20"/>
          <w:shd w:val="clear" w:color="auto" w:fill="FFFFFF"/>
        </w:rPr>
      </w:pPr>
    </w:p>
    <w:p>
      <w:pPr>
        <w:pStyle w:val="2"/>
        <w:numPr>
          <w:ilvl w:val="0"/>
          <w:numId w:val="5"/>
        </w:numPr>
        <w:spacing w:line="600" w:lineRule="auto"/>
        <w:outlineLvl w:val="1"/>
        <w:rPr>
          <w:rFonts w:ascii="黑体" w:hAnsi="黑体" w:eastAsia="黑体" w:cs="黑体"/>
          <w:b/>
          <w:bCs/>
          <w:lang w:val="en-US"/>
        </w:rPr>
      </w:pPr>
      <w:bookmarkStart w:id="399" w:name="_Toc30715"/>
      <w:bookmarkStart w:id="400" w:name="_Toc29823"/>
      <w:bookmarkStart w:id="401" w:name="_Toc21077"/>
      <w:bookmarkStart w:id="402" w:name="_Toc23346"/>
      <w:bookmarkStart w:id="403" w:name="_Toc18784"/>
      <w:bookmarkStart w:id="404" w:name="_Toc22143"/>
      <w:bookmarkStart w:id="405" w:name="_Toc25857"/>
      <w:bookmarkStart w:id="406" w:name="_Toc8061"/>
      <w:bookmarkStart w:id="407" w:name="_Toc25946"/>
      <w:bookmarkStart w:id="408" w:name="_Toc28685"/>
      <w:bookmarkStart w:id="409" w:name="_Toc21033"/>
      <w:bookmarkStart w:id="410" w:name="_Toc21288"/>
      <w:bookmarkStart w:id="411" w:name="_Toc20465"/>
      <w:bookmarkStart w:id="412" w:name="_Toc9691"/>
      <w:bookmarkStart w:id="413" w:name="_Toc3691"/>
      <w:bookmarkStart w:id="414" w:name="_Toc313"/>
      <w:bookmarkStart w:id="415" w:name="_Toc6841"/>
      <w:bookmarkStart w:id="416" w:name="_Toc28799"/>
      <w:bookmarkStart w:id="417" w:name="_Toc25087"/>
      <w:bookmarkStart w:id="418" w:name="_Toc2586"/>
      <w:bookmarkStart w:id="419" w:name="_Toc24849"/>
      <w:bookmarkStart w:id="420" w:name="_Toc22903"/>
      <w:bookmarkStart w:id="421" w:name="_Toc31636"/>
      <w:bookmarkStart w:id="422" w:name="_Toc9647"/>
      <w:bookmarkStart w:id="423" w:name="_Toc19868"/>
      <w:bookmarkStart w:id="424" w:name="_Toc24332"/>
      <w:bookmarkStart w:id="425" w:name="_Toc21065"/>
      <w:bookmarkStart w:id="426" w:name="_Toc11334"/>
      <w:bookmarkStart w:id="427" w:name="_Toc29585"/>
      <w:bookmarkStart w:id="428" w:name="_Toc9125"/>
      <w:r>
        <w:rPr>
          <w:rFonts w:hint="eastAsia" w:ascii="黑体" w:hAnsi="黑体" w:eastAsia="黑体" w:cs="黑体"/>
          <w:b/>
          <w:bCs/>
          <w:lang w:val="en-US"/>
        </w:rPr>
        <w:t>各二级学院毕业生的毕业去向分布</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数据调研显示，“经管学院”的毕业生派遣人数较多，有946人，占该学院毕业人数的96.63%。</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其次是“护理学院”的毕业生派遣人数较多，有436人，占该学院毕业人数的66.67%。</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“艺术学院”毕业生的派遣人数为273人，占该学院人数的89.80%。“信息学院”毕业生的派遣人数为268人，占该学院人数的80.00%。“基础与外语学院”毕业生的派遣人数为60人，占该学院人数的92.31%。</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毕业生中选择“出国”的人数有6人，分布在</w:t>
      </w:r>
      <w:r>
        <w:rPr>
          <w:rFonts w:hint="eastAsia" w:ascii="宋体" w:hAnsi="宋体" w:eastAsia="宋体" w:cs="宋体"/>
          <w:kern w:val="0"/>
          <w:sz w:val="24"/>
          <w:szCs w:val="24"/>
          <w:shd w:val="clear" w:color="auto" w:fill="FFFFFF"/>
          <w:lang w:val="en-US" w:eastAsia="zh-CN"/>
        </w:rPr>
        <w:t>“</w:t>
      </w:r>
      <w:r>
        <w:rPr>
          <w:rFonts w:hint="eastAsia" w:ascii="宋体" w:hAnsi="宋体" w:eastAsia="宋体" w:cs="宋体"/>
          <w:kern w:val="0"/>
          <w:sz w:val="24"/>
          <w:szCs w:val="24"/>
          <w:shd w:val="clear" w:color="auto" w:fill="FFFFFF"/>
          <w:lang w:val="en-US"/>
        </w:rPr>
        <w:t>护理学院</w:t>
      </w:r>
      <w:r>
        <w:rPr>
          <w:rFonts w:hint="eastAsia" w:ascii="宋体" w:hAnsi="宋体" w:eastAsia="宋体" w:cs="宋体"/>
          <w:kern w:val="0"/>
          <w:sz w:val="24"/>
          <w:szCs w:val="24"/>
          <w:shd w:val="clear" w:color="auto" w:fill="FFFFFF"/>
          <w:lang w:val="en-US" w:eastAsia="zh-CN"/>
        </w:rPr>
        <w:t>”</w:t>
      </w:r>
      <w:r>
        <w:rPr>
          <w:rFonts w:hint="eastAsia" w:ascii="宋体" w:hAnsi="宋体" w:eastAsia="宋体" w:cs="宋体"/>
          <w:kern w:val="0"/>
          <w:sz w:val="24"/>
          <w:szCs w:val="24"/>
          <w:shd w:val="clear" w:color="auto" w:fill="FFFFFF"/>
          <w:lang w:val="en-US"/>
        </w:rPr>
        <w:t>，占该学院毕业生人数的2.60%。</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毕业生中选择“专升本”的人数有78人，主要分布在“经管学院”，有25人，占该学院毕业生人数的2.55%。</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其次“艺术学院”专升本人数有20人，占该学院毕业生人数的6.58%。</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“护理学院”专升本人数有17人，占该学院毕业生人数的2.60%。“信息学院”专升本人数有13人，占该学院毕业生人数的3.88%。“基础与外语学院”专升本人数有3人,占该学院毕业生人数的4.62%。（表1-6所示）</w:t>
      </w:r>
    </w:p>
    <w:p>
      <w:pPr>
        <w:pStyle w:val="2"/>
        <w:spacing w:line="360" w:lineRule="auto"/>
        <w:ind w:firstLine="480" w:firstLineChars="200"/>
        <w:jc w:val="left"/>
        <w:rPr>
          <w:rFonts w:ascii="宋体" w:hAnsi="宋体" w:eastAsia="宋体" w:cs="宋体"/>
          <w:kern w:val="0"/>
          <w:sz w:val="24"/>
          <w:szCs w:val="24"/>
          <w:shd w:val="clear" w:color="auto" w:fill="FFFFFF"/>
          <w:lang w:val="en-US"/>
        </w:rPr>
      </w:pPr>
    </w:p>
    <w:p>
      <w:pPr>
        <w:pStyle w:val="2"/>
        <w:spacing w:line="480" w:lineRule="auto"/>
        <w:ind w:firstLine="400" w:firstLineChars="200"/>
        <w:jc w:val="center"/>
        <w:rPr>
          <w:rFonts w:ascii="黑体" w:hAnsi="黑体" w:eastAsia="黑体" w:cs="黑体"/>
          <w:b/>
          <w:bCs/>
          <w:kern w:val="0"/>
          <w:sz w:val="20"/>
          <w:szCs w:val="20"/>
          <w:shd w:val="clear" w:color="auto" w:fill="FFFFFF"/>
          <w:lang w:val="en-US"/>
        </w:rPr>
      </w:pPr>
      <w:r>
        <w:rPr>
          <w:rFonts w:hint="eastAsia" w:ascii="微软雅黑" w:hAnsi="微软雅黑" w:eastAsia="微软雅黑" w:cs="微软雅黑"/>
          <w:b/>
          <w:bCs/>
          <w:kern w:val="0"/>
          <w:sz w:val="20"/>
          <w:szCs w:val="20"/>
          <w:shd w:val="clear" w:color="auto" w:fill="FFFFFF"/>
          <w:lang w:val="en-US"/>
        </w:rPr>
        <w:t>表1-6  各二级学院毕业生的毕业去向分布</w:t>
      </w:r>
    </w:p>
    <w:tbl>
      <w:tblPr>
        <w:tblStyle w:val="9"/>
        <w:tblW w:w="11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8"/>
        <w:gridCol w:w="1035"/>
        <w:gridCol w:w="715"/>
        <w:gridCol w:w="989"/>
        <w:gridCol w:w="784"/>
        <w:gridCol w:w="887"/>
        <w:gridCol w:w="897"/>
        <w:gridCol w:w="932"/>
        <w:gridCol w:w="699"/>
        <w:gridCol w:w="881"/>
        <w:gridCol w:w="761"/>
        <w:gridCol w:w="744"/>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8"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序号</w:t>
            </w:r>
          </w:p>
        </w:tc>
        <w:tc>
          <w:tcPr>
            <w:tcW w:w="1035"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学院名称</w:t>
            </w:r>
          </w:p>
        </w:tc>
        <w:tc>
          <w:tcPr>
            <w:tcW w:w="715"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毕业人数</w:t>
            </w:r>
          </w:p>
        </w:tc>
        <w:tc>
          <w:tcPr>
            <w:tcW w:w="989"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派遣</w:t>
            </w:r>
          </w:p>
        </w:tc>
        <w:tc>
          <w:tcPr>
            <w:tcW w:w="784"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考研</w:t>
            </w:r>
          </w:p>
        </w:tc>
        <w:tc>
          <w:tcPr>
            <w:tcW w:w="887"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公安</w:t>
            </w:r>
          </w:p>
        </w:tc>
        <w:tc>
          <w:tcPr>
            <w:tcW w:w="897"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出国</w:t>
            </w:r>
          </w:p>
        </w:tc>
        <w:tc>
          <w:tcPr>
            <w:tcW w:w="932"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专升本</w:t>
            </w:r>
          </w:p>
        </w:tc>
        <w:tc>
          <w:tcPr>
            <w:tcW w:w="699"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定向委培</w:t>
            </w:r>
          </w:p>
        </w:tc>
        <w:tc>
          <w:tcPr>
            <w:tcW w:w="881"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国家地方项目</w:t>
            </w:r>
          </w:p>
        </w:tc>
        <w:tc>
          <w:tcPr>
            <w:tcW w:w="761"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合同就业</w:t>
            </w:r>
          </w:p>
        </w:tc>
        <w:tc>
          <w:tcPr>
            <w:tcW w:w="744"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灵活就业</w:t>
            </w:r>
          </w:p>
        </w:tc>
        <w:tc>
          <w:tcPr>
            <w:tcW w:w="966"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kern w:val="0"/>
                <w:sz w:val="24"/>
              </w:rPr>
            </w:pPr>
            <w:r>
              <w:rPr>
                <w:rFonts w:hint="eastAsia" w:ascii="宋体" w:hAnsi="宋体" w:cs="宋体"/>
                <w:b/>
                <w:bCs/>
                <w:color w:val="FFFFFF"/>
                <w:kern w:val="0"/>
                <w:sz w:val="24"/>
              </w:rPr>
              <w:t>签约率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03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基础与外语学院</w:t>
            </w:r>
          </w:p>
        </w:tc>
        <w:tc>
          <w:tcPr>
            <w:tcW w:w="71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w:t>
            </w:r>
          </w:p>
        </w:tc>
        <w:tc>
          <w:tcPr>
            <w:tcW w:w="98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92.31%</w:t>
            </w:r>
          </w:p>
        </w:tc>
        <w:tc>
          <w:tcPr>
            <w:tcW w:w="78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9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3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4.62%</w:t>
            </w:r>
          </w:p>
        </w:tc>
        <w:tc>
          <w:tcPr>
            <w:tcW w:w="6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4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103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护理学院</w:t>
            </w:r>
          </w:p>
        </w:tc>
        <w:tc>
          <w:tcPr>
            <w:tcW w:w="71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654</w:t>
            </w:r>
          </w:p>
        </w:tc>
        <w:tc>
          <w:tcPr>
            <w:tcW w:w="98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66.67%</w:t>
            </w:r>
          </w:p>
        </w:tc>
        <w:tc>
          <w:tcPr>
            <w:tcW w:w="78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0.15%</w:t>
            </w:r>
          </w:p>
        </w:tc>
        <w:tc>
          <w:tcPr>
            <w:tcW w:w="89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0.92%</w:t>
            </w:r>
          </w:p>
        </w:tc>
        <w:tc>
          <w:tcPr>
            <w:tcW w:w="93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2.60%</w:t>
            </w:r>
          </w:p>
        </w:tc>
        <w:tc>
          <w:tcPr>
            <w:tcW w:w="6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26.45%</w:t>
            </w:r>
          </w:p>
        </w:tc>
        <w:tc>
          <w:tcPr>
            <w:tcW w:w="74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103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艺术学院</w:t>
            </w:r>
          </w:p>
        </w:tc>
        <w:tc>
          <w:tcPr>
            <w:tcW w:w="71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304</w:t>
            </w:r>
          </w:p>
        </w:tc>
        <w:tc>
          <w:tcPr>
            <w:tcW w:w="98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89.80%</w:t>
            </w:r>
          </w:p>
        </w:tc>
        <w:tc>
          <w:tcPr>
            <w:tcW w:w="78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9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3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6.58%</w:t>
            </w:r>
          </w:p>
        </w:tc>
        <w:tc>
          <w:tcPr>
            <w:tcW w:w="6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2.30%</w:t>
            </w:r>
          </w:p>
        </w:tc>
        <w:tc>
          <w:tcPr>
            <w:tcW w:w="74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103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经管学院</w:t>
            </w:r>
          </w:p>
        </w:tc>
        <w:tc>
          <w:tcPr>
            <w:tcW w:w="71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979</w:t>
            </w:r>
          </w:p>
        </w:tc>
        <w:tc>
          <w:tcPr>
            <w:tcW w:w="98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96.63%</w:t>
            </w:r>
          </w:p>
        </w:tc>
        <w:tc>
          <w:tcPr>
            <w:tcW w:w="78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0.31%</w:t>
            </w:r>
          </w:p>
        </w:tc>
        <w:tc>
          <w:tcPr>
            <w:tcW w:w="89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3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2.55%</w:t>
            </w:r>
          </w:p>
        </w:tc>
        <w:tc>
          <w:tcPr>
            <w:tcW w:w="6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1"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0.20%</w:t>
            </w:r>
          </w:p>
        </w:tc>
        <w:tc>
          <w:tcPr>
            <w:tcW w:w="74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66" w:type="dxa"/>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7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103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信息学院</w:t>
            </w:r>
          </w:p>
        </w:tc>
        <w:tc>
          <w:tcPr>
            <w:tcW w:w="71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335</w:t>
            </w:r>
          </w:p>
        </w:tc>
        <w:tc>
          <w:tcPr>
            <w:tcW w:w="98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80.00%</w:t>
            </w:r>
          </w:p>
        </w:tc>
        <w:tc>
          <w:tcPr>
            <w:tcW w:w="78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2.39%</w:t>
            </w:r>
          </w:p>
        </w:tc>
        <w:tc>
          <w:tcPr>
            <w:tcW w:w="89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3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3.88%</w:t>
            </w:r>
          </w:p>
        </w:tc>
        <w:tc>
          <w:tcPr>
            <w:tcW w:w="6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8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1"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9.85%</w:t>
            </w:r>
          </w:p>
        </w:tc>
        <w:tc>
          <w:tcPr>
            <w:tcW w:w="74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66" w:type="dxa"/>
            <w:shd w:val="clear" w:color="auto" w:fill="B8CCE4"/>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86.27%</w:t>
            </w:r>
          </w:p>
        </w:tc>
      </w:tr>
    </w:tbl>
    <w:p>
      <w:pPr>
        <w:pStyle w:val="2"/>
        <w:spacing w:line="480" w:lineRule="auto"/>
        <w:ind w:firstLine="402" w:firstLineChars="200"/>
        <w:jc w:val="center"/>
        <w:rPr>
          <w:rFonts w:ascii="黑体" w:hAnsi="黑体" w:eastAsia="黑体" w:cs="黑体"/>
          <w:b/>
          <w:bCs/>
          <w:color w:val="FF0000"/>
          <w:kern w:val="0"/>
          <w:sz w:val="20"/>
          <w:szCs w:val="20"/>
          <w:shd w:val="clear" w:color="auto" w:fill="FFFFFF"/>
          <w:lang w:val="en-US"/>
        </w:rPr>
      </w:pPr>
    </w:p>
    <w:p>
      <w:pPr>
        <w:pStyle w:val="2"/>
        <w:spacing w:line="480" w:lineRule="auto"/>
        <w:ind w:firstLine="402" w:firstLineChars="200"/>
        <w:jc w:val="center"/>
        <w:rPr>
          <w:rFonts w:ascii="黑体" w:hAnsi="黑体" w:eastAsia="黑体" w:cs="黑体"/>
          <w:b/>
          <w:bCs/>
          <w:color w:val="FF0000"/>
          <w:kern w:val="0"/>
          <w:sz w:val="20"/>
          <w:szCs w:val="20"/>
          <w:shd w:val="clear" w:color="auto" w:fill="FFFFFF"/>
          <w:lang w:val="en-US"/>
        </w:rPr>
      </w:pPr>
    </w:p>
    <w:p>
      <w:pPr>
        <w:pStyle w:val="2"/>
        <w:numPr>
          <w:ilvl w:val="0"/>
          <w:numId w:val="5"/>
        </w:numPr>
        <w:spacing w:line="600" w:lineRule="auto"/>
        <w:outlineLvl w:val="1"/>
        <w:rPr>
          <w:rFonts w:ascii="黑体" w:hAnsi="黑体" w:eastAsia="黑体" w:cs="黑体"/>
          <w:b/>
          <w:bCs/>
          <w:lang w:val="en-US"/>
        </w:rPr>
      </w:pPr>
      <w:bookmarkStart w:id="429" w:name="_Toc30071"/>
      <w:bookmarkStart w:id="430" w:name="_Toc10200"/>
      <w:bookmarkStart w:id="431" w:name="_Toc30692"/>
      <w:bookmarkStart w:id="432" w:name="_Toc2358"/>
      <w:bookmarkStart w:id="433" w:name="_Toc5790"/>
      <w:bookmarkStart w:id="434" w:name="_Toc580"/>
      <w:bookmarkStart w:id="435" w:name="_Toc15035"/>
      <w:bookmarkStart w:id="436" w:name="_Toc2014"/>
      <w:bookmarkStart w:id="437" w:name="_Toc12119"/>
      <w:bookmarkStart w:id="438" w:name="_Toc32137"/>
      <w:bookmarkStart w:id="439" w:name="_Toc25673"/>
      <w:bookmarkStart w:id="440" w:name="_Toc8502"/>
      <w:bookmarkStart w:id="441" w:name="_Toc12500"/>
      <w:bookmarkStart w:id="442" w:name="_Toc31914"/>
      <w:bookmarkStart w:id="443" w:name="_Toc14402"/>
      <w:bookmarkStart w:id="444" w:name="_Toc15949"/>
      <w:bookmarkStart w:id="445" w:name="_Toc4932"/>
      <w:bookmarkStart w:id="446" w:name="_Toc17554"/>
      <w:r>
        <w:rPr>
          <w:rFonts w:hint="eastAsia" w:ascii="黑体" w:hAnsi="黑体" w:eastAsia="黑体" w:cs="黑体"/>
          <w:b/>
          <w:bCs/>
          <w:lang w:val="en-US"/>
        </w:rPr>
        <w:t>各专业毕业生的毕业去向分布</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2"/>
        <w:spacing w:line="360" w:lineRule="auto"/>
        <w:ind w:firstLine="480" w:firstLineChars="200"/>
        <w:jc w:val="left"/>
        <w:rPr>
          <w:rFonts w:ascii="宋体" w:hAnsi="宋体" w:eastAsia="宋体" w:cs="宋体"/>
          <w:kern w:val="0"/>
          <w:sz w:val="24"/>
          <w:szCs w:val="24"/>
          <w:lang w:val="en-US"/>
        </w:rPr>
      </w:pPr>
      <w:r>
        <w:rPr>
          <w:rFonts w:hint="eastAsia" w:ascii="宋体" w:hAnsi="宋体" w:eastAsia="宋体" w:cs="宋体"/>
          <w:kern w:val="0"/>
          <w:sz w:val="24"/>
          <w:szCs w:val="24"/>
          <w:shd w:val="clear" w:color="auto" w:fill="FFFFFF"/>
          <w:lang w:val="en-US"/>
        </w:rPr>
        <w:t>数据显示，服装设计、服装与服饰设计、环境艺术设计、艺术设计(广告与展示设计)、报关与国际货运、采购与供应管理、电子商务(跨境电商)、工商企业管理、国际商务、金融管理、酒店管理(烘焙与饮品)、连锁经营管理(港澳台合作)、连锁经营管理(中高职贯通培养)、旅游管理(出境旅游计调)、旅游管理(中高职贯通培养)等15个专业的签约率达到100%。</w:t>
      </w:r>
    </w:p>
    <w:p>
      <w:pPr>
        <w:pStyle w:val="2"/>
        <w:spacing w:line="360" w:lineRule="auto"/>
        <w:ind w:firstLine="480" w:firstLineChars="200"/>
        <w:jc w:val="left"/>
        <w:rPr>
          <w:rFonts w:ascii="宋体" w:hAnsi="宋体" w:eastAsia="宋体" w:cs="宋体"/>
          <w:kern w:val="0"/>
          <w:sz w:val="24"/>
          <w:szCs w:val="24"/>
          <w:lang w:val="en-US"/>
        </w:rPr>
      </w:pPr>
      <w:r>
        <w:rPr>
          <w:rFonts w:hint="eastAsia" w:ascii="宋体" w:hAnsi="宋体" w:eastAsia="宋体" w:cs="宋体"/>
          <w:kern w:val="0"/>
          <w:sz w:val="24"/>
          <w:szCs w:val="24"/>
          <w:lang w:val="en-US"/>
        </w:rPr>
        <w:t>另外，还有来自“服装设计”、“</w:t>
      </w:r>
      <w:r>
        <w:rPr>
          <w:rFonts w:hint="eastAsia" w:ascii="宋体" w:hAnsi="宋体" w:eastAsia="宋体" w:cs="宋体"/>
          <w:color w:val="000000"/>
          <w:kern w:val="0"/>
          <w:sz w:val="24"/>
          <w:szCs w:val="24"/>
          <w:lang w:val="en-US"/>
        </w:rPr>
        <w:t>环境艺术设计</w:t>
      </w:r>
      <w:r>
        <w:rPr>
          <w:rFonts w:hint="eastAsia" w:ascii="宋体" w:hAnsi="宋体" w:eastAsia="宋体" w:cs="宋体"/>
          <w:kern w:val="0"/>
          <w:sz w:val="24"/>
          <w:szCs w:val="24"/>
          <w:lang w:val="en-US"/>
        </w:rPr>
        <w:t>”、“</w:t>
      </w:r>
      <w:r>
        <w:rPr>
          <w:rFonts w:hint="eastAsia" w:ascii="宋体" w:hAnsi="宋体" w:eastAsia="宋体" w:cs="宋体"/>
          <w:color w:val="000000"/>
          <w:kern w:val="0"/>
          <w:sz w:val="24"/>
          <w:szCs w:val="24"/>
          <w:lang w:val="en-US"/>
        </w:rPr>
        <w:t>酒店管理(烘焙与饮品)</w:t>
      </w:r>
      <w:r>
        <w:rPr>
          <w:rFonts w:hint="eastAsia" w:ascii="宋体" w:hAnsi="宋体" w:eastAsia="宋体" w:cs="宋体"/>
          <w:kern w:val="0"/>
          <w:sz w:val="24"/>
          <w:szCs w:val="24"/>
          <w:lang w:val="en-US"/>
        </w:rPr>
        <w:t>”、“</w:t>
      </w:r>
      <w:r>
        <w:rPr>
          <w:rFonts w:hint="eastAsia" w:ascii="宋体" w:hAnsi="宋体" w:eastAsia="宋体" w:cs="宋体"/>
          <w:color w:val="000000"/>
          <w:kern w:val="0"/>
          <w:sz w:val="24"/>
          <w:szCs w:val="24"/>
          <w:lang w:val="en-US"/>
        </w:rPr>
        <w:t>连锁经营管理(港澳台合作)</w:t>
      </w:r>
      <w:r>
        <w:rPr>
          <w:rFonts w:hint="eastAsia" w:ascii="宋体" w:hAnsi="宋体" w:eastAsia="宋体" w:cs="宋体"/>
          <w:kern w:val="0"/>
          <w:sz w:val="24"/>
          <w:szCs w:val="24"/>
          <w:lang w:val="en-US"/>
        </w:rPr>
        <w:t>”、“</w:t>
      </w:r>
      <w:r>
        <w:rPr>
          <w:rFonts w:hint="eastAsia" w:ascii="宋体" w:hAnsi="宋体" w:eastAsia="宋体" w:cs="宋体"/>
          <w:color w:val="000000"/>
          <w:kern w:val="0"/>
          <w:sz w:val="24"/>
          <w:szCs w:val="24"/>
          <w:lang w:val="en-US"/>
        </w:rPr>
        <w:t>连锁经营管理(中高职贯通培养)</w:t>
      </w:r>
      <w:r>
        <w:rPr>
          <w:rFonts w:hint="eastAsia" w:ascii="宋体" w:hAnsi="宋体" w:eastAsia="宋体" w:cs="宋体"/>
          <w:kern w:val="0"/>
          <w:sz w:val="24"/>
          <w:szCs w:val="24"/>
          <w:lang w:val="en-US"/>
        </w:rPr>
        <w:t>”等5个专业的派遣率达到100%。（表1-7所示）</w:t>
      </w:r>
    </w:p>
    <w:p>
      <w:pPr>
        <w:pStyle w:val="2"/>
        <w:spacing w:line="360" w:lineRule="auto"/>
        <w:ind w:firstLine="400" w:firstLineChars="200"/>
        <w:jc w:val="center"/>
        <w:rPr>
          <w:rFonts w:ascii="黑体" w:hAnsi="黑体" w:eastAsia="黑体" w:cs="黑体"/>
          <w:b/>
          <w:bCs/>
          <w:color w:val="333333"/>
          <w:kern w:val="0"/>
          <w:sz w:val="21"/>
          <w:szCs w:val="21"/>
          <w:shd w:val="clear" w:color="auto" w:fill="FFFFFF"/>
          <w:lang w:val="en-US"/>
        </w:rPr>
      </w:pPr>
      <w:r>
        <w:rPr>
          <w:rFonts w:hint="eastAsia" w:ascii="微软雅黑" w:hAnsi="微软雅黑" w:eastAsia="微软雅黑" w:cs="微软雅黑"/>
          <w:b/>
          <w:bCs/>
          <w:kern w:val="0"/>
          <w:sz w:val="20"/>
          <w:szCs w:val="20"/>
          <w:shd w:val="clear" w:color="auto" w:fill="FFFFFF"/>
          <w:lang w:val="en-US"/>
        </w:rPr>
        <w:t>表1-7  各专业毕业生的毕业去向分布</w:t>
      </w:r>
    </w:p>
    <w:tbl>
      <w:tblPr>
        <w:tblStyle w:val="9"/>
        <w:tblW w:w="10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2"/>
        <w:gridCol w:w="2085"/>
        <w:gridCol w:w="682"/>
        <w:gridCol w:w="920"/>
        <w:gridCol w:w="819"/>
        <w:gridCol w:w="767"/>
        <w:gridCol w:w="858"/>
        <w:gridCol w:w="727"/>
        <w:gridCol w:w="738"/>
        <w:gridCol w:w="692"/>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4F81BD"/>
            <w:tcMar>
              <w:top w:w="15" w:type="dxa"/>
              <w:left w:w="15" w:type="dxa"/>
              <w:right w:w="15" w:type="dxa"/>
            </w:tcMar>
            <w:vAlign w:val="center"/>
          </w:tcPr>
          <w:p>
            <w:pPr>
              <w:widowControl/>
              <w:jc w:val="center"/>
              <w:textAlignment w:val="center"/>
              <w:rPr>
                <w:rFonts w:ascii="宋体" w:hAnsi="宋体" w:cs="宋体"/>
                <w:b/>
                <w:color w:val="FFFFFF"/>
                <w:sz w:val="24"/>
              </w:rPr>
            </w:pPr>
            <w:r>
              <w:rPr>
                <w:rFonts w:hint="eastAsia" w:ascii="宋体" w:hAnsi="宋体" w:cs="宋体"/>
                <w:b/>
                <w:color w:val="FFFFFF"/>
                <w:kern w:val="0"/>
                <w:sz w:val="24"/>
              </w:rPr>
              <w:t>序号</w:t>
            </w:r>
          </w:p>
        </w:tc>
        <w:tc>
          <w:tcPr>
            <w:tcW w:w="2085" w:type="dxa"/>
            <w:shd w:val="clear" w:color="auto" w:fill="4F81BD"/>
            <w:tcMar>
              <w:top w:w="15" w:type="dxa"/>
              <w:left w:w="15" w:type="dxa"/>
              <w:right w:w="15" w:type="dxa"/>
            </w:tcMar>
            <w:vAlign w:val="center"/>
          </w:tcPr>
          <w:p>
            <w:pPr>
              <w:widowControl/>
              <w:jc w:val="center"/>
              <w:textAlignment w:val="center"/>
              <w:rPr>
                <w:rFonts w:ascii="宋体" w:hAnsi="宋体" w:cs="宋体"/>
                <w:b/>
                <w:color w:val="FFFFFF"/>
                <w:sz w:val="24"/>
              </w:rPr>
            </w:pPr>
            <w:r>
              <w:rPr>
                <w:rFonts w:hint="eastAsia" w:ascii="宋体" w:hAnsi="宋体" w:cs="宋体"/>
                <w:b/>
                <w:color w:val="FFFFFF"/>
                <w:kern w:val="0"/>
                <w:sz w:val="24"/>
              </w:rPr>
              <w:t>专业</w:t>
            </w:r>
          </w:p>
        </w:tc>
        <w:tc>
          <w:tcPr>
            <w:tcW w:w="682" w:type="dxa"/>
            <w:shd w:val="clear" w:color="auto" w:fill="4F81BD"/>
            <w:tcMar>
              <w:top w:w="15" w:type="dxa"/>
              <w:left w:w="15" w:type="dxa"/>
              <w:right w:w="15" w:type="dxa"/>
            </w:tcMar>
            <w:vAlign w:val="center"/>
          </w:tcPr>
          <w:p>
            <w:pPr>
              <w:widowControl/>
              <w:jc w:val="center"/>
              <w:textAlignment w:val="center"/>
              <w:rPr>
                <w:rFonts w:ascii="宋体" w:hAnsi="宋体" w:cs="宋体"/>
                <w:b/>
                <w:color w:val="FFFFFF"/>
                <w:sz w:val="24"/>
              </w:rPr>
            </w:pPr>
            <w:r>
              <w:rPr>
                <w:rFonts w:hint="eastAsia" w:ascii="宋体" w:hAnsi="宋体" w:cs="宋体"/>
                <w:b/>
                <w:color w:val="FFFFFF"/>
                <w:kern w:val="0"/>
                <w:sz w:val="24"/>
              </w:rPr>
              <w:t>总数</w:t>
            </w:r>
          </w:p>
        </w:tc>
        <w:tc>
          <w:tcPr>
            <w:tcW w:w="920" w:type="dxa"/>
            <w:shd w:val="clear" w:color="auto" w:fill="4F81BD"/>
            <w:tcMar>
              <w:top w:w="15" w:type="dxa"/>
              <w:left w:w="15" w:type="dxa"/>
              <w:right w:w="15" w:type="dxa"/>
            </w:tcMar>
            <w:vAlign w:val="center"/>
          </w:tcPr>
          <w:p>
            <w:pPr>
              <w:widowControl/>
              <w:jc w:val="center"/>
              <w:textAlignment w:val="center"/>
              <w:rPr>
                <w:rFonts w:ascii="宋体" w:hAnsi="宋体" w:cs="宋体"/>
                <w:b/>
                <w:color w:val="FFFFFF"/>
                <w:sz w:val="24"/>
              </w:rPr>
            </w:pPr>
            <w:r>
              <w:rPr>
                <w:rFonts w:hint="eastAsia" w:ascii="宋体" w:hAnsi="宋体" w:cs="宋体"/>
                <w:b/>
                <w:color w:val="FFFFFF"/>
                <w:kern w:val="0"/>
                <w:sz w:val="24"/>
              </w:rPr>
              <w:t>派遣</w:t>
            </w:r>
          </w:p>
        </w:tc>
        <w:tc>
          <w:tcPr>
            <w:tcW w:w="819" w:type="dxa"/>
            <w:shd w:val="clear" w:color="auto" w:fill="4F81BD"/>
            <w:tcMar>
              <w:top w:w="15" w:type="dxa"/>
              <w:left w:w="15" w:type="dxa"/>
              <w:right w:w="15" w:type="dxa"/>
            </w:tcMar>
            <w:vAlign w:val="center"/>
          </w:tcPr>
          <w:p>
            <w:pPr>
              <w:widowControl/>
              <w:jc w:val="center"/>
              <w:textAlignment w:val="center"/>
              <w:rPr>
                <w:rFonts w:ascii="宋体" w:hAnsi="宋体" w:cs="宋体"/>
                <w:b/>
                <w:color w:val="FFFFFF"/>
                <w:sz w:val="24"/>
              </w:rPr>
            </w:pPr>
            <w:r>
              <w:rPr>
                <w:rFonts w:hint="eastAsia" w:ascii="宋体" w:hAnsi="宋体" w:cs="宋体"/>
                <w:b/>
                <w:color w:val="FFFFFF"/>
                <w:kern w:val="0"/>
                <w:sz w:val="24"/>
              </w:rPr>
              <w:t>专升本</w:t>
            </w:r>
          </w:p>
        </w:tc>
        <w:tc>
          <w:tcPr>
            <w:tcW w:w="767" w:type="dxa"/>
            <w:shd w:val="clear" w:color="auto" w:fill="4F81BD"/>
            <w:tcMar>
              <w:top w:w="15" w:type="dxa"/>
              <w:left w:w="15" w:type="dxa"/>
              <w:right w:w="15" w:type="dxa"/>
            </w:tcMar>
            <w:vAlign w:val="center"/>
          </w:tcPr>
          <w:p>
            <w:pPr>
              <w:widowControl/>
              <w:jc w:val="center"/>
              <w:textAlignment w:val="center"/>
              <w:rPr>
                <w:rFonts w:ascii="宋体" w:hAnsi="宋体" w:cs="宋体"/>
                <w:b/>
                <w:color w:val="FFFFFF"/>
                <w:sz w:val="24"/>
              </w:rPr>
            </w:pPr>
            <w:r>
              <w:rPr>
                <w:rFonts w:hint="eastAsia" w:ascii="宋体" w:hAnsi="宋体" w:cs="宋体"/>
                <w:b/>
                <w:color w:val="FFFFFF"/>
                <w:kern w:val="0"/>
                <w:sz w:val="24"/>
              </w:rPr>
              <w:t>出国</w:t>
            </w:r>
          </w:p>
        </w:tc>
        <w:tc>
          <w:tcPr>
            <w:tcW w:w="858" w:type="dxa"/>
            <w:shd w:val="clear" w:color="auto" w:fill="4F81BD"/>
            <w:tcMar>
              <w:top w:w="15" w:type="dxa"/>
              <w:left w:w="15" w:type="dxa"/>
              <w:right w:w="15" w:type="dxa"/>
            </w:tcMar>
            <w:vAlign w:val="center"/>
          </w:tcPr>
          <w:p>
            <w:pPr>
              <w:widowControl/>
              <w:jc w:val="center"/>
              <w:textAlignment w:val="center"/>
              <w:rPr>
                <w:rFonts w:ascii="宋体" w:hAnsi="宋体" w:cs="宋体"/>
                <w:b/>
                <w:color w:val="FFFFFF"/>
                <w:sz w:val="24"/>
              </w:rPr>
            </w:pPr>
            <w:r>
              <w:rPr>
                <w:rFonts w:hint="eastAsia" w:ascii="宋体" w:hAnsi="宋体" w:cs="宋体"/>
                <w:b/>
                <w:color w:val="FFFFFF"/>
                <w:kern w:val="0"/>
                <w:sz w:val="24"/>
              </w:rPr>
              <w:t>国家地方项目</w:t>
            </w:r>
          </w:p>
        </w:tc>
        <w:tc>
          <w:tcPr>
            <w:tcW w:w="727" w:type="dxa"/>
            <w:shd w:val="clear" w:color="auto" w:fill="4F81BD"/>
            <w:tcMar>
              <w:top w:w="15" w:type="dxa"/>
              <w:left w:w="15" w:type="dxa"/>
              <w:right w:w="15" w:type="dxa"/>
            </w:tcMar>
            <w:vAlign w:val="center"/>
          </w:tcPr>
          <w:p>
            <w:pPr>
              <w:widowControl/>
              <w:jc w:val="center"/>
              <w:textAlignment w:val="center"/>
              <w:rPr>
                <w:rFonts w:ascii="宋体" w:hAnsi="宋体" w:cs="宋体"/>
                <w:b/>
                <w:color w:val="FFFFFF"/>
                <w:sz w:val="24"/>
              </w:rPr>
            </w:pPr>
            <w:r>
              <w:rPr>
                <w:rFonts w:hint="eastAsia" w:ascii="宋体" w:hAnsi="宋体" w:cs="宋体"/>
                <w:b/>
                <w:color w:val="FFFFFF"/>
                <w:kern w:val="0"/>
                <w:sz w:val="24"/>
              </w:rPr>
              <w:t>考研</w:t>
            </w:r>
          </w:p>
        </w:tc>
        <w:tc>
          <w:tcPr>
            <w:tcW w:w="738" w:type="dxa"/>
            <w:shd w:val="clear" w:color="auto" w:fill="4F81BD"/>
            <w:tcMar>
              <w:top w:w="15" w:type="dxa"/>
              <w:left w:w="15" w:type="dxa"/>
              <w:right w:w="15" w:type="dxa"/>
            </w:tcMar>
            <w:vAlign w:val="center"/>
          </w:tcPr>
          <w:p>
            <w:pPr>
              <w:widowControl/>
              <w:jc w:val="center"/>
              <w:textAlignment w:val="center"/>
              <w:rPr>
                <w:rFonts w:ascii="宋体" w:hAnsi="宋体" w:cs="宋体"/>
                <w:b/>
                <w:color w:val="FFFFFF"/>
                <w:sz w:val="24"/>
              </w:rPr>
            </w:pPr>
            <w:r>
              <w:rPr>
                <w:rFonts w:hint="eastAsia" w:ascii="宋体" w:hAnsi="宋体" w:cs="宋体"/>
                <w:b/>
                <w:color w:val="FFFFFF"/>
                <w:kern w:val="0"/>
                <w:sz w:val="24"/>
              </w:rPr>
              <w:t>考双</w:t>
            </w:r>
          </w:p>
        </w:tc>
        <w:tc>
          <w:tcPr>
            <w:tcW w:w="692" w:type="dxa"/>
            <w:shd w:val="clear" w:color="auto" w:fill="4F81BD"/>
            <w:tcMar>
              <w:top w:w="15" w:type="dxa"/>
              <w:left w:w="15" w:type="dxa"/>
              <w:right w:w="15" w:type="dxa"/>
            </w:tcMar>
            <w:vAlign w:val="center"/>
          </w:tcPr>
          <w:p>
            <w:pPr>
              <w:widowControl/>
              <w:jc w:val="center"/>
              <w:textAlignment w:val="center"/>
              <w:rPr>
                <w:rFonts w:ascii="宋体" w:hAnsi="宋体" w:cs="宋体"/>
                <w:b/>
                <w:color w:val="FFFFFF"/>
                <w:sz w:val="24"/>
              </w:rPr>
            </w:pPr>
            <w:r>
              <w:rPr>
                <w:rFonts w:hint="eastAsia" w:ascii="宋体" w:hAnsi="宋体" w:cs="宋体"/>
                <w:b/>
                <w:color w:val="FFFFFF"/>
                <w:kern w:val="0"/>
                <w:sz w:val="24"/>
              </w:rPr>
              <w:t>定向委培</w:t>
            </w:r>
          </w:p>
        </w:tc>
        <w:tc>
          <w:tcPr>
            <w:tcW w:w="955" w:type="dxa"/>
            <w:shd w:val="clear" w:color="auto" w:fill="4F81BD"/>
            <w:tcMar>
              <w:top w:w="15" w:type="dxa"/>
              <w:left w:w="15" w:type="dxa"/>
              <w:right w:w="15" w:type="dxa"/>
            </w:tcMar>
            <w:vAlign w:val="center"/>
          </w:tcPr>
          <w:p>
            <w:pPr>
              <w:widowControl/>
              <w:jc w:val="center"/>
              <w:textAlignment w:val="center"/>
              <w:rPr>
                <w:rFonts w:ascii="宋体" w:hAnsi="宋体" w:cs="宋体"/>
                <w:b/>
                <w:color w:val="FFFFFF"/>
                <w:sz w:val="24"/>
              </w:rPr>
            </w:pPr>
            <w:r>
              <w:rPr>
                <w:rFonts w:hint="eastAsia" w:ascii="宋体" w:hAnsi="宋体" w:cs="宋体"/>
                <w:b/>
                <w:color w:val="FFFFFF"/>
                <w:kern w:val="0"/>
                <w:sz w:val="24"/>
              </w:rPr>
              <w:t>签约率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服装设计</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服装与服饰设计</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90.32%</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9.68%</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环境艺术设计</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艺术设计(广告与展示设计)</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52</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98.08%</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1.92%</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报关与国际货运</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56</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96.43%</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3.57%</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采购与供应管理</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93.75%</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6.25%</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电子商务(跨境电商)</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96.00%</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4.00%</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工商企业管理</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98.18%</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1.82%</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国际商务</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95.74%</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4.26%</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金融管理</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103</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91.26%</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7.77%</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0.97%</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酒店管理(烘焙与饮品)</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73</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连锁经营管理(港澳台合作)</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连锁经营管理(中高职贯通培养)</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旅游管理(出境旅游计调)</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39</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94.87%</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2.56%</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2.56%</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旅游管理(中高职贯通培养)</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43</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93.02%</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6.98%</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会计</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258</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97.67%</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1.55%</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0.39%</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电子商务</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73</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97.26%</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1.37%</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物流管理</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96.67%</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1.67%</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艺术设计(室内与景观设计)</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86</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88.37%</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9.30%</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商务英语</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92.31%</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4.62%</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传播与策划</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51</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88.24%</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7.84%</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数字媒体艺术设计(动漫制作)</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48</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87.50%</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8.33%</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会展策划与管理</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95.74%</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软件技术</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76</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82.89%</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9.21%</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计算机网络技术</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87.88%</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3.03%</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2</w:t>
            </w:r>
            <w:r>
              <w:rPr>
                <w:rFonts w:hint="eastAsia" w:ascii="宋体" w:hAnsi="宋体" w:cs="宋体"/>
                <w:color w:val="000000"/>
                <w:kern w:val="0"/>
                <w:sz w:val="24"/>
                <w:lang w:val="en-US" w:eastAsia="zh-CN"/>
              </w:rPr>
              <w:t>6</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护理(涉外护理)</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68.57%</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2.86%</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17.14%</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机电一体化技术</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106</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82.08%</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2.83%</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1.89%</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计算机应用技术</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67</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74.63%</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1.49%</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7.46%</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物联网应用技术</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76.00%</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4.00%</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电气自动化技术</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71.43%</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3.57%</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护理(港澳台合作)</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72.22%</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护理</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555</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66.49%</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2.70%</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健康管理</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60.71%</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3.57%</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3.57%</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w:t>
            </w:r>
          </w:p>
        </w:tc>
        <w:tc>
          <w:tcPr>
            <w:tcW w:w="208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应用艺术设计（环境设计）</w:t>
            </w:r>
          </w:p>
        </w:tc>
        <w:tc>
          <w:tcPr>
            <w:tcW w:w="68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92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1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w:t>
            </w:r>
          </w:p>
        </w:tc>
        <w:tc>
          <w:tcPr>
            <w:tcW w:w="208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应用艺术设计(展示设计)</w:t>
            </w:r>
          </w:p>
        </w:tc>
        <w:tc>
          <w:tcPr>
            <w:tcW w:w="68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92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1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6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85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738"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69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c>
          <w:tcPr>
            <w:tcW w:w="955"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0.00%</w:t>
            </w:r>
          </w:p>
        </w:tc>
      </w:tr>
    </w:tbl>
    <w:p>
      <w:pPr>
        <w:pStyle w:val="2"/>
        <w:spacing w:line="360" w:lineRule="auto"/>
        <w:rPr>
          <w:rFonts w:ascii="微软雅黑" w:hAnsi="微软雅黑" w:eastAsia="微软雅黑" w:cs="微软雅黑"/>
          <w:b/>
          <w:bCs/>
          <w:kern w:val="0"/>
          <w:sz w:val="20"/>
          <w:szCs w:val="20"/>
          <w:shd w:val="clear" w:color="auto" w:fill="FFFFFF"/>
          <w:lang w:val="en-US"/>
        </w:rPr>
      </w:pPr>
      <w:r>
        <w:rPr>
          <w:rFonts w:hint="eastAsia" w:ascii="微软雅黑" w:hAnsi="微软雅黑" w:eastAsia="微软雅黑" w:cs="微软雅黑"/>
          <w:b/>
          <w:bCs/>
          <w:kern w:val="0"/>
          <w:sz w:val="20"/>
          <w:szCs w:val="20"/>
          <w:shd w:val="clear" w:color="auto" w:fill="FFFFFF"/>
          <w:lang w:val="en-US"/>
        </w:rPr>
        <w:t>注：本表按照各专业的签约率由高到低排序。</w:t>
      </w:r>
    </w:p>
    <w:p>
      <w:pPr>
        <w:numPr>
          <w:ilvl w:val="0"/>
          <w:numId w:val="2"/>
        </w:numPr>
        <w:spacing w:line="600" w:lineRule="auto"/>
        <w:outlineLvl w:val="0"/>
        <w:rPr>
          <w:rFonts w:ascii="黑体" w:hAnsi="黑体" w:eastAsia="黑体" w:cs="黑体"/>
          <w:b/>
          <w:bCs/>
          <w:sz w:val="30"/>
          <w:szCs w:val="30"/>
        </w:rPr>
      </w:pPr>
      <w:bookmarkStart w:id="447" w:name="_Toc1422"/>
      <w:bookmarkStart w:id="448" w:name="_Toc25813"/>
      <w:bookmarkStart w:id="449" w:name="_Toc15500"/>
      <w:bookmarkStart w:id="450" w:name="_Toc15168"/>
      <w:bookmarkStart w:id="451" w:name="_Toc26197"/>
      <w:bookmarkStart w:id="452" w:name="_Toc31402"/>
      <w:bookmarkStart w:id="453" w:name="_Toc21555"/>
      <w:bookmarkStart w:id="454" w:name="_Toc23581"/>
      <w:bookmarkStart w:id="455" w:name="_Toc4729"/>
      <w:bookmarkStart w:id="456" w:name="_Toc9789"/>
      <w:bookmarkStart w:id="457" w:name="_Toc13493"/>
      <w:bookmarkStart w:id="458" w:name="_Toc19437"/>
      <w:bookmarkStart w:id="459" w:name="_Toc8258"/>
      <w:bookmarkStart w:id="460" w:name="_Toc11837"/>
      <w:bookmarkStart w:id="461" w:name="_Toc22847"/>
      <w:bookmarkStart w:id="462" w:name="_Toc22062"/>
      <w:bookmarkStart w:id="463" w:name="_Toc6149"/>
      <w:bookmarkStart w:id="464" w:name="_Toc26806"/>
      <w:bookmarkStart w:id="465" w:name="_Toc11376"/>
      <w:bookmarkStart w:id="466" w:name="_Toc32392"/>
      <w:bookmarkStart w:id="467" w:name="_Toc8865"/>
      <w:bookmarkStart w:id="468" w:name="_Toc12777"/>
      <w:bookmarkStart w:id="469" w:name="_Toc4991"/>
      <w:bookmarkStart w:id="470" w:name="_Toc7629"/>
      <w:bookmarkStart w:id="471" w:name="_Toc23553"/>
      <w:bookmarkStart w:id="472" w:name="_Toc3344"/>
      <w:bookmarkStart w:id="473" w:name="_Toc17486"/>
      <w:bookmarkStart w:id="474" w:name="_Toc5066"/>
      <w:bookmarkStart w:id="475" w:name="_Toc1333"/>
      <w:bookmarkStart w:id="476" w:name="_Toc4449"/>
      <w:bookmarkStart w:id="477" w:name="_Toc14121"/>
      <w:r>
        <w:rPr>
          <w:rFonts w:hint="eastAsia" w:ascii="黑体" w:hAnsi="黑体" w:eastAsia="黑体" w:cs="黑体"/>
          <w:b/>
          <w:bCs/>
          <w:sz w:val="30"/>
          <w:szCs w:val="30"/>
        </w:rPr>
        <w:t>毕业生就业流向</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2"/>
        <w:numPr>
          <w:ilvl w:val="0"/>
          <w:numId w:val="6"/>
        </w:numPr>
        <w:spacing w:line="600" w:lineRule="auto"/>
        <w:outlineLvl w:val="1"/>
        <w:rPr>
          <w:rFonts w:ascii="黑体" w:hAnsi="黑体" w:eastAsia="黑体" w:cs="黑体"/>
          <w:b/>
          <w:bCs/>
          <w:lang w:val="en-US"/>
        </w:rPr>
      </w:pPr>
      <w:bookmarkStart w:id="478" w:name="_Toc7024"/>
      <w:bookmarkStart w:id="479" w:name="_Toc3382"/>
      <w:bookmarkStart w:id="480" w:name="_Toc7376"/>
      <w:bookmarkStart w:id="481" w:name="_Toc8512"/>
      <w:bookmarkStart w:id="482" w:name="_Toc11598"/>
      <w:bookmarkStart w:id="483" w:name="_Toc20123"/>
      <w:bookmarkStart w:id="484" w:name="_Toc22148"/>
      <w:bookmarkStart w:id="485" w:name="_Toc24855"/>
      <w:bookmarkStart w:id="486" w:name="_Toc4756"/>
      <w:bookmarkStart w:id="487" w:name="_Toc19626"/>
      <w:bookmarkStart w:id="488" w:name="_Toc30511"/>
      <w:bookmarkStart w:id="489" w:name="_Toc15746"/>
      <w:bookmarkStart w:id="490" w:name="_Toc6879"/>
      <w:bookmarkStart w:id="491" w:name="_Toc28352"/>
      <w:bookmarkStart w:id="492" w:name="_Toc13008"/>
      <w:bookmarkStart w:id="493" w:name="_Toc2031"/>
      <w:bookmarkStart w:id="494" w:name="_Toc8998"/>
      <w:bookmarkStart w:id="495" w:name="_Toc3750"/>
      <w:bookmarkStart w:id="496" w:name="_Toc27780"/>
      <w:bookmarkStart w:id="497" w:name="_Toc10689"/>
      <w:bookmarkStart w:id="498" w:name="_Toc18076"/>
      <w:bookmarkStart w:id="499" w:name="_Toc26557"/>
      <w:bookmarkStart w:id="500" w:name="_Toc23248"/>
      <w:bookmarkStart w:id="501" w:name="_Toc31877"/>
      <w:bookmarkStart w:id="502" w:name="_Toc13294"/>
      <w:bookmarkStart w:id="503" w:name="_Toc29121"/>
      <w:bookmarkStart w:id="504" w:name="_Toc7105"/>
      <w:bookmarkStart w:id="505" w:name="_Toc20222"/>
      <w:bookmarkStart w:id="506" w:name="_Toc6212"/>
      <w:bookmarkStart w:id="507" w:name="_Toc13670"/>
      <w:bookmarkStart w:id="508" w:name="_Toc5921"/>
      <w:r>
        <w:rPr>
          <w:rFonts w:hint="eastAsia" w:ascii="黑体" w:hAnsi="黑体" w:eastAsia="黑体" w:cs="黑体"/>
          <w:b/>
          <w:bCs/>
          <w:lang w:val="en-US"/>
        </w:rPr>
        <w:t>就业地区分布</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根据对2019届毕业生的就业地区分布情况进行调研分析，毕业生的就业地区主要分布在3</w:t>
      </w:r>
      <w:r>
        <w:rPr>
          <w:rFonts w:hint="eastAsia" w:ascii="宋体" w:hAnsi="宋体" w:eastAsia="宋体" w:cs="宋体"/>
          <w:color w:val="333333"/>
          <w:kern w:val="0"/>
          <w:sz w:val="24"/>
          <w:szCs w:val="24"/>
          <w:shd w:val="clear" w:color="auto" w:fill="FFFFFF"/>
          <w:lang w:val="en-US" w:eastAsia="zh-CN"/>
        </w:rPr>
        <w:t>2</w:t>
      </w:r>
      <w:r>
        <w:rPr>
          <w:rFonts w:hint="eastAsia" w:ascii="宋体" w:hAnsi="宋体" w:eastAsia="宋体" w:cs="宋体"/>
          <w:color w:val="333333"/>
          <w:kern w:val="0"/>
          <w:sz w:val="24"/>
          <w:szCs w:val="24"/>
          <w:shd w:val="clear" w:color="auto" w:fill="FFFFFF"/>
          <w:lang w:val="en-US"/>
        </w:rPr>
        <w:t>个地区，其中主要以上海市内为主，在“上海</w:t>
      </w:r>
      <w:r>
        <w:rPr>
          <w:rFonts w:hint="eastAsia" w:ascii="宋体" w:hAnsi="宋体" w:eastAsia="宋体" w:cs="宋体"/>
          <w:color w:val="333333"/>
          <w:kern w:val="0"/>
          <w:sz w:val="24"/>
          <w:szCs w:val="24"/>
          <w:shd w:val="clear" w:color="auto" w:fill="FFFFFF"/>
          <w:lang w:val="en-US" w:eastAsia="zh-CN"/>
        </w:rPr>
        <w:t>市</w:t>
      </w:r>
      <w:r>
        <w:rPr>
          <w:rFonts w:hint="eastAsia" w:ascii="宋体" w:hAnsi="宋体" w:eastAsia="宋体" w:cs="宋体"/>
          <w:color w:val="333333"/>
          <w:kern w:val="0"/>
          <w:sz w:val="24"/>
          <w:szCs w:val="24"/>
          <w:shd w:val="clear" w:color="auto" w:fill="FFFFFF"/>
          <w:lang w:val="en-US"/>
        </w:rPr>
        <w:t>”地区的就业人数有1680人，占就业总人数的73.27%。</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市外就业人数较多的是分布在“浙江</w:t>
      </w:r>
      <w:r>
        <w:rPr>
          <w:rFonts w:hint="eastAsia" w:ascii="宋体" w:hAnsi="宋体" w:eastAsia="宋体" w:cs="宋体"/>
          <w:color w:val="333333"/>
          <w:kern w:val="0"/>
          <w:sz w:val="24"/>
          <w:szCs w:val="24"/>
          <w:shd w:val="clear" w:color="auto" w:fill="FFFFFF"/>
          <w:lang w:val="en-US" w:eastAsia="zh-CN"/>
        </w:rPr>
        <w:t>省</w:t>
      </w:r>
      <w:r>
        <w:rPr>
          <w:rFonts w:hint="eastAsia" w:ascii="宋体" w:hAnsi="宋体" w:eastAsia="宋体" w:cs="宋体"/>
          <w:color w:val="333333"/>
          <w:kern w:val="0"/>
          <w:sz w:val="24"/>
          <w:szCs w:val="24"/>
          <w:shd w:val="clear" w:color="auto" w:fill="FFFFFF"/>
          <w:lang w:val="en-US"/>
        </w:rPr>
        <w:t>”地区，就业人数为157人，占就业总人数的6.85%。</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w:t>
      </w:r>
      <w:r>
        <w:rPr>
          <w:rFonts w:hint="eastAsia" w:ascii="宋体" w:hAnsi="宋体" w:eastAsia="宋体" w:cs="宋体"/>
          <w:color w:val="000000"/>
          <w:kern w:val="0"/>
          <w:sz w:val="24"/>
          <w:szCs w:val="24"/>
          <w:lang w:val="en-US"/>
        </w:rPr>
        <w:t>西藏自治区</w:t>
      </w:r>
      <w:r>
        <w:rPr>
          <w:rFonts w:hint="eastAsia" w:ascii="宋体" w:hAnsi="宋体" w:eastAsia="宋体" w:cs="宋体"/>
          <w:color w:val="333333"/>
          <w:kern w:val="0"/>
          <w:sz w:val="24"/>
          <w:szCs w:val="24"/>
          <w:shd w:val="clear" w:color="auto" w:fill="FFFFFF"/>
          <w:lang w:val="en-US"/>
        </w:rPr>
        <w:t>”地区的就业人数较少，就业人数为1人，占就业总人数的0.04%。（表1-8所示）</w:t>
      </w:r>
    </w:p>
    <w:p>
      <w:pPr>
        <w:pStyle w:val="2"/>
        <w:spacing w:line="360" w:lineRule="auto"/>
        <w:ind w:firstLine="400" w:firstLineChars="200"/>
        <w:jc w:val="center"/>
        <w:rPr>
          <w:rFonts w:ascii="宋体" w:hAnsi="宋体" w:eastAsia="宋体" w:cs="宋体"/>
          <w:color w:val="FFFFFF"/>
          <w:kern w:val="0"/>
          <w:sz w:val="24"/>
          <w:szCs w:val="24"/>
          <w:lang w:val="en-US"/>
        </w:rPr>
      </w:pPr>
      <w:r>
        <w:rPr>
          <w:rFonts w:hint="eastAsia" w:ascii="微软雅黑" w:hAnsi="微软雅黑" w:eastAsia="微软雅黑" w:cs="微软雅黑"/>
          <w:b/>
          <w:bCs/>
          <w:kern w:val="0"/>
          <w:sz w:val="20"/>
          <w:szCs w:val="20"/>
          <w:shd w:val="clear" w:color="auto" w:fill="FFFFFF"/>
          <w:lang w:val="en-US"/>
        </w:rPr>
        <w:t>表1-8 就业地区分布</w:t>
      </w:r>
    </w:p>
    <w:tbl>
      <w:tblPr>
        <w:tblStyle w:val="9"/>
        <w:tblW w:w="8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0"/>
        <w:gridCol w:w="3680"/>
        <w:gridCol w:w="1704"/>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序号</w:t>
            </w:r>
          </w:p>
        </w:tc>
        <w:tc>
          <w:tcPr>
            <w:tcW w:w="3680"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就业地区</w:t>
            </w:r>
          </w:p>
        </w:tc>
        <w:tc>
          <w:tcPr>
            <w:tcW w:w="1704"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就业人数</w:t>
            </w:r>
          </w:p>
        </w:tc>
        <w:tc>
          <w:tcPr>
            <w:tcW w:w="1799"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上海市</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1680</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浙江省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157</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安徽省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江苏省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广东省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53</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海南省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39</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山东省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贵州省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重庆市</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江西省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北京市</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云南省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山西省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辽宁省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四川省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河南省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黑龙江省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内蒙古自治区</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甘肃省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kern w:val="0"/>
                <w:sz w:val="24"/>
              </w:rPr>
              <w:t>8</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湖南省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福建省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境外</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宁夏回族自治区</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陕西省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新疆维吾尔自治区</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河北省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湖北省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广西壮族自治区</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吉林省</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青海省</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w:t>
            </w:r>
          </w:p>
        </w:tc>
        <w:tc>
          <w:tcPr>
            <w:tcW w:w="3680"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天津市</w:t>
            </w:r>
          </w:p>
        </w:tc>
        <w:tc>
          <w:tcPr>
            <w:tcW w:w="1704"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1799"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15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w:t>
            </w:r>
          </w:p>
        </w:tc>
        <w:tc>
          <w:tcPr>
            <w:tcW w:w="3680"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西藏自治区</w:t>
            </w:r>
          </w:p>
        </w:tc>
        <w:tc>
          <w:tcPr>
            <w:tcW w:w="1704"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799"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0.04%</w:t>
            </w:r>
          </w:p>
        </w:tc>
      </w:tr>
    </w:tbl>
    <w:p>
      <w:pPr>
        <w:pStyle w:val="2"/>
        <w:spacing w:line="360" w:lineRule="auto"/>
        <w:rPr>
          <w:rFonts w:ascii="微软雅黑" w:hAnsi="微软雅黑" w:eastAsia="微软雅黑" w:cs="微软雅黑"/>
          <w:b/>
          <w:bCs/>
          <w:kern w:val="0"/>
          <w:sz w:val="20"/>
          <w:szCs w:val="20"/>
          <w:shd w:val="clear" w:color="auto" w:fill="FFFFFF"/>
          <w:lang w:val="en-US"/>
        </w:rPr>
      </w:pPr>
      <w:r>
        <w:rPr>
          <w:rFonts w:hint="eastAsia" w:ascii="微软雅黑" w:hAnsi="微软雅黑" w:eastAsia="微软雅黑" w:cs="微软雅黑"/>
          <w:b/>
          <w:bCs/>
          <w:kern w:val="0"/>
          <w:sz w:val="20"/>
          <w:szCs w:val="20"/>
          <w:shd w:val="clear" w:color="auto" w:fill="FFFFFF"/>
          <w:lang w:val="en-US"/>
        </w:rPr>
        <w:t>注：本表按照各地区就业人数由高到低排序。</w:t>
      </w:r>
    </w:p>
    <w:p>
      <w:pPr>
        <w:pStyle w:val="2"/>
        <w:numPr>
          <w:ilvl w:val="0"/>
          <w:numId w:val="6"/>
        </w:numPr>
        <w:spacing w:line="600" w:lineRule="auto"/>
        <w:outlineLvl w:val="1"/>
        <w:rPr>
          <w:rFonts w:ascii="黑体" w:hAnsi="黑体" w:eastAsia="黑体" w:cs="黑体"/>
          <w:b/>
          <w:bCs/>
          <w:lang w:val="en-US"/>
        </w:rPr>
      </w:pPr>
      <w:bookmarkStart w:id="509" w:name="_Toc30362"/>
      <w:bookmarkStart w:id="510" w:name="_Toc28990"/>
      <w:bookmarkStart w:id="511" w:name="_Toc13688"/>
      <w:bookmarkStart w:id="512" w:name="_Toc12470"/>
      <w:bookmarkStart w:id="513" w:name="_Toc23841"/>
      <w:bookmarkStart w:id="514" w:name="_Toc19224"/>
      <w:bookmarkStart w:id="515" w:name="_Toc31561"/>
      <w:bookmarkStart w:id="516" w:name="_Toc8547"/>
      <w:bookmarkStart w:id="517" w:name="_Toc24612"/>
      <w:bookmarkStart w:id="518" w:name="_Toc27514"/>
      <w:bookmarkStart w:id="519" w:name="_Toc25357"/>
      <w:bookmarkStart w:id="520" w:name="_Toc2611"/>
      <w:bookmarkStart w:id="521" w:name="_Toc13101"/>
      <w:bookmarkStart w:id="522" w:name="_Toc26527"/>
      <w:bookmarkStart w:id="523" w:name="_Toc22821"/>
      <w:bookmarkStart w:id="524" w:name="_Toc14657"/>
      <w:bookmarkStart w:id="525" w:name="_Toc17522"/>
      <w:bookmarkStart w:id="526" w:name="_Toc8364"/>
      <w:bookmarkStart w:id="527" w:name="_Toc27831"/>
      <w:bookmarkStart w:id="528" w:name="_Toc30699"/>
      <w:bookmarkStart w:id="529" w:name="_Toc26715"/>
      <w:bookmarkStart w:id="530" w:name="_Toc823"/>
      <w:bookmarkStart w:id="531" w:name="_Toc21590"/>
      <w:bookmarkStart w:id="532" w:name="_Toc14183"/>
      <w:r>
        <w:rPr>
          <w:rFonts w:hint="eastAsia" w:ascii="黑体" w:hAnsi="黑体" w:eastAsia="黑体" w:cs="黑体"/>
          <w:b/>
          <w:bCs/>
          <w:lang w:val="en-US"/>
        </w:rPr>
        <w:t>就业单位性质分布</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从学校2019届毕业生就业的就业单位性质分布来看，毕业生主要去向是“中小企业”，有1471人，占比74.18%。相比较往年数据，“中小企业”就业去向占比继续呈现上升的发展趋势。</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其次就业单位性质占比较高的是“医疗卫生单位”，有309人，占比15.58%。（图1-7所示）</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560" w:firstLineChars="200"/>
        <w:jc w:val="center"/>
        <w:rPr>
          <w:rFonts w:ascii="宋体" w:hAnsi="宋体" w:eastAsia="宋体" w:cs="宋体"/>
          <w:color w:val="333333"/>
          <w:kern w:val="0"/>
          <w:sz w:val="24"/>
          <w:szCs w:val="24"/>
          <w:shd w:val="clear" w:color="auto" w:fill="FFFFFF"/>
          <w:lang w:val="en-US"/>
        </w:rPr>
      </w:pPr>
      <w:r>
        <w:drawing>
          <wp:inline distT="0" distB="0" distL="114300" distR="114300">
            <wp:extent cx="4572000" cy="4284345"/>
            <wp:effectExtent l="4445" t="4445" r="14605" b="16510"/>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
        <w:spacing w:line="360" w:lineRule="auto"/>
        <w:ind w:firstLine="400" w:firstLineChars="200"/>
        <w:jc w:val="center"/>
        <w:rPr>
          <w:rFonts w:ascii="黑体" w:hAnsi="黑体" w:eastAsia="黑体" w:cs="黑体"/>
          <w:b/>
          <w:bCs/>
          <w:color w:val="333333"/>
          <w:kern w:val="0"/>
          <w:sz w:val="21"/>
          <w:szCs w:val="21"/>
          <w:shd w:val="clear" w:color="auto" w:fill="FFFFFF"/>
          <w:lang w:val="en-US"/>
        </w:rPr>
      </w:pPr>
      <w:r>
        <w:rPr>
          <w:rFonts w:hint="eastAsia" w:ascii="微软雅黑" w:hAnsi="微软雅黑" w:eastAsia="微软雅黑" w:cs="微软雅黑"/>
          <w:b/>
          <w:bCs/>
          <w:color w:val="333333"/>
          <w:kern w:val="0"/>
          <w:sz w:val="20"/>
          <w:szCs w:val="20"/>
          <w:shd w:val="clear" w:color="auto" w:fill="FFFFFF"/>
          <w:lang w:val="en-US"/>
        </w:rPr>
        <w:t>图1-7 就业单位性质分布</w:t>
      </w:r>
    </w:p>
    <w:p>
      <w:pPr>
        <w:numPr>
          <w:ilvl w:val="0"/>
          <w:numId w:val="2"/>
        </w:numPr>
        <w:spacing w:line="600" w:lineRule="auto"/>
        <w:outlineLvl w:val="0"/>
        <w:rPr>
          <w:rFonts w:ascii="黑体" w:hAnsi="黑体" w:eastAsia="黑体" w:cs="黑体"/>
          <w:b/>
          <w:bCs/>
          <w:sz w:val="30"/>
          <w:szCs w:val="30"/>
        </w:rPr>
      </w:pPr>
      <w:bookmarkStart w:id="533" w:name="_Toc11624"/>
      <w:bookmarkStart w:id="534" w:name="_Toc4109"/>
      <w:bookmarkStart w:id="535" w:name="_Toc26687"/>
      <w:bookmarkStart w:id="536" w:name="_Toc16381"/>
      <w:bookmarkStart w:id="537" w:name="_Toc22136"/>
      <w:bookmarkStart w:id="538" w:name="_Toc22193"/>
      <w:bookmarkStart w:id="539" w:name="_Toc10374"/>
      <w:bookmarkStart w:id="540" w:name="_Toc31426"/>
      <w:bookmarkStart w:id="541" w:name="_Toc10930"/>
      <w:bookmarkStart w:id="542" w:name="_Toc29162"/>
      <w:bookmarkStart w:id="543" w:name="_Toc8110"/>
      <w:bookmarkStart w:id="544" w:name="_Toc16913"/>
      <w:bookmarkStart w:id="545" w:name="_Toc29961"/>
      <w:bookmarkStart w:id="546" w:name="_Toc26380"/>
      <w:bookmarkStart w:id="547" w:name="_Toc29999"/>
      <w:bookmarkStart w:id="548" w:name="_Toc28621"/>
      <w:bookmarkStart w:id="549" w:name="_Toc7551"/>
      <w:bookmarkStart w:id="550" w:name="_Toc16401"/>
      <w:bookmarkStart w:id="551" w:name="_Toc7672"/>
      <w:r>
        <w:rPr>
          <w:rFonts w:hint="eastAsia" w:ascii="黑体" w:hAnsi="黑体" w:eastAsia="黑体" w:cs="黑体"/>
          <w:b/>
          <w:bCs/>
          <w:sz w:val="30"/>
          <w:szCs w:val="30"/>
        </w:rPr>
        <w:t>毕业生继续深造情况</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2"/>
        <w:numPr>
          <w:ilvl w:val="0"/>
          <w:numId w:val="7"/>
        </w:numPr>
        <w:spacing w:line="600" w:lineRule="auto"/>
        <w:outlineLvl w:val="1"/>
        <w:rPr>
          <w:rFonts w:ascii="黑体" w:hAnsi="黑体" w:eastAsia="黑体" w:cs="黑体"/>
          <w:b/>
          <w:bCs/>
          <w:lang w:val="en-US"/>
        </w:rPr>
      </w:pPr>
      <w:bookmarkStart w:id="552" w:name="_Toc20032"/>
      <w:bookmarkStart w:id="553" w:name="_Toc20301"/>
      <w:bookmarkStart w:id="554" w:name="_Toc30483"/>
      <w:bookmarkStart w:id="555" w:name="_Toc8721"/>
      <w:bookmarkStart w:id="556" w:name="_Toc7370"/>
      <w:bookmarkStart w:id="557" w:name="_Toc8263"/>
      <w:bookmarkStart w:id="558" w:name="_Toc9294"/>
      <w:bookmarkStart w:id="559" w:name="_Toc18756"/>
      <w:bookmarkStart w:id="560" w:name="_Toc26195"/>
      <w:bookmarkStart w:id="561" w:name="_Toc24665"/>
      <w:bookmarkStart w:id="562" w:name="_Toc2549"/>
      <w:bookmarkStart w:id="563" w:name="_Toc25964"/>
      <w:bookmarkStart w:id="564" w:name="_Toc16262"/>
      <w:bookmarkStart w:id="565" w:name="_Toc7595"/>
      <w:bookmarkStart w:id="566" w:name="_Toc13867"/>
      <w:bookmarkStart w:id="567" w:name="_Toc1346"/>
      <w:bookmarkStart w:id="568" w:name="_Toc9967"/>
      <w:bookmarkStart w:id="569" w:name="_Toc14703"/>
      <w:bookmarkStart w:id="570" w:name="_Toc23056"/>
      <w:bookmarkStart w:id="571" w:name="_Toc2852"/>
      <w:r>
        <w:rPr>
          <w:rFonts w:hint="eastAsia" w:ascii="黑体" w:hAnsi="黑体" w:eastAsia="黑体" w:cs="黑体"/>
          <w:b/>
          <w:bCs/>
          <w:lang w:val="en-US"/>
        </w:rPr>
        <w:t>各二级学院毕业生全日制专升本录取情况分析</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 xml:space="preserve"> 2019届毕业生中共有78人顺利通过全日制专升本录取考试，其中来自“经管学院”顺利通过专升本录取考试的毕业生人数为25人，占录取总数的32.05%。</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“艺术学院”顺利通过专升本录取考试的毕业生人数为20人，占录取总数的25.64%。</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w:t>
      </w:r>
      <w:r>
        <w:rPr>
          <w:rFonts w:hint="eastAsia" w:ascii="宋体" w:hAnsi="宋体" w:eastAsia="宋体" w:cs="宋体"/>
          <w:kern w:val="0"/>
          <w:sz w:val="24"/>
          <w:szCs w:val="24"/>
          <w:lang w:val="en-US"/>
        </w:rPr>
        <w:t>护理学院</w:t>
      </w:r>
      <w:r>
        <w:rPr>
          <w:rFonts w:hint="eastAsia" w:ascii="宋体" w:hAnsi="宋体" w:eastAsia="宋体" w:cs="宋体"/>
          <w:kern w:val="0"/>
          <w:sz w:val="24"/>
          <w:szCs w:val="24"/>
          <w:shd w:val="clear" w:color="auto" w:fill="FFFFFF"/>
          <w:lang w:val="en-US"/>
        </w:rPr>
        <w:t>”顺利通过专升本录取考试的毕业生人数为17人，占录取总数的21.79%。</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“信息学院”顺利通过专升本录取考试的毕业生人数为13人，占录取总数的16.67%。</w:t>
      </w:r>
    </w:p>
    <w:p>
      <w:pPr>
        <w:pStyle w:val="2"/>
        <w:spacing w:line="360" w:lineRule="auto"/>
        <w:ind w:firstLine="480" w:firstLineChars="200"/>
        <w:jc w:val="left"/>
        <w:rPr>
          <w:rFonts w:ascii="宋体" w:hAnsi="宋体" w:eastAsia="宋体" w:cs="宋体"/>
          <w:kern w:val="0"/>
          <w:sz w:val="24"/>
          <w:szCs w:val="24"/>
          <w:shd w:val="clear" w:color="auto" w:fill="FFFFFF"/>
          <w:lang w:val="en-US"/>
        </w:rPr>
      </w:pPr>
      <w:r>
        <w:rPr>
          <w:rFonts w:hint="eastAsia" w:ascii="宋体" w:hAnsi="宋体" w:eastAsia="宋体" w:cs="宋体"/>
          <w:kern w:val="0"/>
          <w:sz w:val="24"/>
          <w:szCs w:val="24"/>
          <w:shd w:val="clear" w:color="auto" w:fill="FFFFFF"/>
          <w:lang w:val="en-US"/>
        </w:rPr>
        <w:t>“基础与外语学院”顺利通过专升本录取考试的毕业生人数较少，为3人，占录取总数的3.85%。（图1-8所示）</w:t>
      </w:r>
    </w:p>
    <w:p>
      <w:pPr>
        <w:pStyle w:val="2"/>
        <w:ind w:firstLine="480" w:firstLineChars="200"/>
        <w:jc w:val="left"/>
        <w:rPr>
          <w:rFonts w:ascii="宋体" w:hAnsi="宋体" w:eastAsia="宋体" w:cs="宋体"/>
          <w:color w:val="FF0000"/>
          <w:kern w:val="0"/>
          <w:sz w:val="24"/>
          <w:szCs w:val="24"/>
          <w:shd w:val="clear" w:color="auto" w:fill="FFFFFF"/>
          <w:lang w:val="en-US"/>
        </w:rPr>
      </w:pPr>
    </w:p>
    <w:p>
      <w:pPr>
        <w:pStyle w:val="2"/>
        <w:spacing w:line="360" w:lineRule="auto"/>
        <w:ind w:firstLine="560" w:firstLineChars="200"/>
        <w:jc w:val="center"/>
        <w:rPr>
          <w:rFonts w:ascii="宋体" w:hAnsi="宋体" w:eastAsia="宋体" w:cs="宋体"/>
          <w:color w:val="FF0000"/>
          <w:kern w:val="0"/>
          <w:sz w:val="24"/>
          <w:szCs w:val="24"/>
          <w:shd w:val="clear" w:color="auto" w:fill="FFFFFF"/>
          <w:lang w:val="en-US"/>
        </w:rPr>
      </w:pPr>
      <w:r>
        <w:rPr>
          <w:lang w:val="en-US" w:bidi="ar-SA"/>
        </w:rPr>
        <w:drawing>
          <wp:inline distT="0" distB="0" distL="114300" distR="114300">
            <wp:extent cx="4572000" cy="2995295"/>
            <wp:effectExtent l="4445" t="4445" r="14605" b="10160"/>
            <wp:docPr id="2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2"/>
        <w:spacing w:line="480" w:lineRule="auto"/>
        <w:ind w:firstLine="400" w:firstLineChars="200"/>
        <w:jc w:val="center"/>
        <w:rPr>
          <w:rFonts w:ascii="微软雅黑" w:hAnsi="微软雅黑" w:eastAsia="微软雅黑" w:cs="微软雅黑"/>
          <w:b/>
          <w:bCs/>
          <w:kern w:val="0"/>
          <w:sz w:val="20"/>
          <w:szCs w:val="20"/>
          <w:shd w:val="clear" w:color="auto" w:fill="FFFFFF"/>
          <w:lang w:val="en-US"/>
        </w:rPr>
      </w:pPr>
      <w:r>
        <w:rPr>
          <w:rFonts w:hint="eastAsia" w:ascii="微软雅黑" w:hAnsi="微软雅黑" w:eastAsia="微软雅黑" w:cs="微软雅黑"/>
          <w:b/>
          <w:bCs/>
          <w:kern w:val="0"/>
          <w:sz w:val="20"/>
          <w:szCs w:val="20"/>
          <w:shd w:val="clear" w:color="auto" w:fill="FFFFFF"/>
          <w:lang w:val="en-US"/>
        </w:rPr>
        <w:t>图1-8 各二级学院毕业生国内专升本录取情况分析</w:t>
      </w:r>
    </w:p>
    <w:p>
      <w:pPr>
        <w:pStyle w:val="2"/>
        <w:numPr>
          <w:ilvl w:val="0"/>
          <w:numId w:val="7"/>
        </w:numPr>
        <w:spacing w:line="600" w:lineRule="auto"/>
        <w:outlineLvl w:val="1"/>
        <w:rPr>
          <w:rFonts w:ascii="黑体" w:hAnsi="黑体" w:eastAsia="黑体" w:cs="黑体"/>
          <w:b/>
          <w:bCs/>
          <w:lang w:val="en-US"/>
        </w:rPr>
      </w:pPr>
      <w:bookmarkStart w:id="572" w:name="_Toc8559"/>
      <w:bookmarkStart w:id="573" w:name="_Toc30893"/>
      <w:bookmarkStart w:id="574" w:name="_Toc12348"/>
      <w:bookmarkStart w:id="575" w:name="_Toc12881"/>
      <w:bookmarkStart w:id="576" w:name="_Toc28985"/>
      <w:bookmarkStart w:id="577" w:name="_Toc18635"/>
      <w:bookmarkStart w:id="578" w:name="_Toc4877"/>
      <w:bookmarkStart w:id="579" w:name="_Toc15916"/>
      <w:bookmarkStart w:id="580" w:name="_Toc1827"/>
      <w:bookmarkStart w:id="581" w:name="_Toc28227"/>
      <w:bookmarkStart w:id="582" w:name="_Toc13902"/>
      <w:bookmarkStart w:id="583" w:name="_Toc22871"/>
      <w:bookmarkStart w:id="584" w:name="_Toc21669"/>
      <w:bookmarkStart w:id="585" w:name="_Toc9199"/>
      <w:bookmarkStart w:id="586" w:name="_Toc284"/>
      <w:bookmarkStart w:id="587" w:name="_Toc28988"/>
      <w:bookmarkStart w:id="588" w:name="_Toc2471"/>
      <w:bookmarkStart w:id="589" w:name="_Toc20910"/>
      <w:bookmarkStart w:id="590" w:name="_Toc27380"/>
      <w:bookmarkStart w:id="591" w:name="_Toc708"/>
      <w:r>
        <w:rPr>
          <w:rFonts w:hint="eastAsia" w:ascii="黑体" w:hAnsi="黑体" w:eastAsia="黑体" w:cs="黑体"/>
          <w:b/>
          <w:bCs/>
          <w:lang w:val="en-US"/>
        </w:rPr>
        <w:t>毕业生全日制专升本录取情况分析</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2016届毕业生中顺利通过专升本录取考试的毕业生人数有15人，其中2人考入上海市民办本科院，13人考入上海市公办本科院校。</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2017届毕业生中顺利通过专升本录取考试的毕业生人数有27人，其中6人考入上海市民办本科院校，21人考入上海市公办本科院校。</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2018届毕业生中顺利通过专升本录取考试的毕业生人数有44人，其中34人考入上海市民办本科院校，10人考入上海市公办本科院校。</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2019届届毕业生中顺利通过专升本录取考试的毕业生人数有78人，其中63人考入上海市民办本科院校，13人考入上海市公办本科院校,2人考入原籍地本科院校。</w:t>
      </w:r>
    </w:p>
    <w:p>
      <w:pPr>
        <w:pStyle w:val="2"/>
        <w:spacing w:line="360" w:lineRule="auto"/>
        <w:ind w:firstLine="480" w:firstLineChars="200"/>
        <w:jc w:val="left"/>
        <w:rPr>
          <w:rFonts w:hint="eastAsia"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连续4年来，学校顺利通过全日制专升本录取考试的毕业生人数呈现出逐年上升发展趋势。（</w:t>
      </w:r>
      <w:r>
        <w:rPr>
          <w:rFonts w:hint="eastAsia" w:ascii="宋体" w:hAnsi="宋体" w:eastAsia="宋体" w:cs="宋体"/>
          <w:kern w:val="0"/>
          <w:sz w:val="24"/>
          <w:szCs w:val="24"/>
          <w:shd w:val="clear" w:color="auto" w:fill="FFFFFF"/>
          <w:lang w:val="en-US"/>
        </w:rPr>
        <w:t>表1-9</w:t>
      </w:r>
      <w:r>
        <w:rPr>
          <w:rFonts w:hint="eastAsia" w:ascii="宋体" w:hAnsi="宋体" w:eastAsia="宋体" w:cs="宋体"/>
          <w:color w:val="333333"/>
          <w:kern w:val="0"/>
          <w:sz w:val="24"/>
          <w:szCs w:val="24"/>
          <w:shd w:val="clear" w:color="auto" w:fill="FFFFFF"/>
          <w:lang w:val="en-US"/>
        </w:rPr>
        <w:t>所示）</w:t>
      </w:r>
    </w:p>
    <w:p>
      <w:pPr>
        <w:pStyle w:val="2"/>
        <w:spacing w:line="600" w:lineRule="auto"/>
        <w:jc w:val="center"/>
        <w:rPr>
          <w:rFonts w:ascii="微软雅黑" w:hAnsi="微软雅黑" w:eastAsia="微软雅黑" w:cs="微软雅黑"/>
          <w:color w:val="333333"/>
          <w:kern w:val="0"/>
          <w:sz w:val="20"/>
          <w:szCs w:val="20"/>
          <w:shd w:val="clear" w:color="auto" w:fill="FFFFFF"/>
          <w:lang w:val="en-US"/>
        </w:rPr>
      </w:pPr>
      <w:r>
        <w:rPr>
          <w:rFonts w:hint="eastAsia" w:ascii="微软雅黑" w:hAnsi="微软雅黑" w:eastAsia="微软雅黑" w:cs="微软雅黑"/>
          <w:b/>
          <w:bCs/>
          <w:kern w:val="0"/>
          <w:sz w:val="20"/>
          <w:szCs w:val="20"/>
          <w:shd w:val="clear" w:color="auto" w:fill="FFFFFF"/>
          <w:lang w:val="en-US"/>
        </w:rPr>
        <w:t>表1-9</w:t>
      </w:r>
      <w:r>
        <w:rPr>
          <w:rFonts w:hint="eastAsia" w:ascii="微软雅黑" w:hAnsi="微软雅黑" w:eastAsia="微软雅黑" w:cs="微软雅黑"/>
          <w:b/>
          <w:bCs/>
          <w:color w:val="333333"/>
          <w:kern w:val="0"/>
          <w:sz w:val="20"/>
          <w:szCs w:val="20"/>
          <w:shd w:val="clear" w:color="auto" w:fill="FFFFFF"/>
          <w:lang w:val="en-US"/>
        </w:rPr>
        <w:t xml:space="preserve"> 毕业生国内专升本录取情况</w:t>
      </w:r>
    </w:p>
    <w:tbl>
      <w:tblPr>
        <w:tblStyle w:val="9"/>
        <w:tblW w:w="8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7"/>
        <w:gridCol w:w="1437"/>
        <w:gridCol w:w="2327"/>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7"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年级</w:t>
            </w:r>
          </w:p>
        </w:tc>
        <w:tc>
          <w:tcPr>
            <w:tcW w:w="1437"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录取人数</w:t>
            </w:r>
          </w:p>
        </w:tc>
        <w:tc>
          <w:tcPr>
            <w:tcW w:w="2327"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上海市公办本科院校</w:t>
            </w:r>
          </w:p>
        </w:tc>
        <w:tc>
          <w:tcPr>
            <w:tcW w:w="3132" w:type="dxa"/>
            <w:shd w:val="clear" w:color="auto" w:fill="4F81BD"/>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rPr>
              <w:t>上海市民办本科院校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2016届</w:t>
            </w:r>
          </w:p>
        </w:tc>
        <w:tc>
          <w:tcPr>
            <w:tcW w:w="143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23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313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2017届</w:t>
            </w:r>
          </w:p>
        </w:tc>
        <w:tc>
          <w:tcPr>
            <w:tcW w:w="143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23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313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2018届</w:t>
            </w:r>
          </w:p>
        </w:tc>
        <w:tc>
          <w:tcPr>
            <w:tcW w:w="143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w:t>
            </w:r>
          </w:p>
        </w:tc>
        <w:tc>
          <w:tcPr>
            <w:tcW w:w="2327"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3132" w:type="dxa"/>
            <w:shd w:val="clear" w:color="auto" w:fill="B8CCE4"/>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43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2019届</w:t>
            </w:r>
          </w:p>
        </w:tc>
        <w:tc>
          <w:tcPr>
            <w:tcW w:w="143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78</w:t>
            </w:r>
          </w:p>
        </w:tc>
        <w:tc>
          <w:tcPr>
            <w:tcW w:w="2327"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3132" w:type="dxa"/>
            <w:shd w:val="clear" w:color="auto"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kern w:val="0"/>
                <w:sz w:val="24"/>
              </w:rPr>
              <w:t>63</w:t>
            </w:r>
          </w:p>
        </w:tc>
      </w:tr>
    </w:tbl>
    <w:p>
      <w:pPr>
        <w:numPr>
          <w:ilvl w:val="0"/>
          <w:numId w:val="2"/>
        </w:numPr>
        <w:spacing w:line="600" w:lineRule="auto"/>
        <w:outlineLvl w:val="0"/>
        <w:rPr>
          <w:rFonts w:ascii="黑体" w:hAnsi="黑体" w:eastAsia="黑体" w:cs="黑体"/>
          <w:b/>
          <w:bCs/>
          <w:sz w:val="30"/>
          <w:szCs w:val="30"/>
        </w:rPr>
      </w:pPr>
      <w:bookmarkStart w:id="592" w:name="_Toc28660"/>
      <w:bookmarkStart w:id="593" w:name="_Toc9456"/>
      <w:bookmarkStart w:id="594" w:name="_Toc12217"/>
      <w:bookmarkStart w:id="595" w:name="_Toc19022"/>
      <w:bookmarkStart w:id="596" w:name="_Toc29299"/>
      <w:bookmarkStart w:id="597" w:name="_Toc19866"/>
      <w:bookmarkStart w:id="598" w:name="_Toc31504"/>
      <w:bookmarkStart w:id="599" w:name="_Toc20431"/>
      <w:bookmarkStart w:id="600" w:name="_Toc19748"/>
      <w:bookmarkStart w:id="601" w:name="_Toc29906"/>
      <w:bookmarkStart w:id="602" w:name="_Toc22033"/>
      <w:bookmarkStart w:id="603" w:name="_Toc5423"/>
      <w:bookmarkStart w:id="604" w:name="_Toc6850"/>
      <w:bookmarkStart w:id="605" w:name="_Toc21163"/>
      <w:bookmarkStart w:id="606" w:name="_Toc2526"/>
      <w:bookmarkStart w:id="607" w:name="_Toc22699"/>
      <w:bookmarkStart w:id="608" w:name="_Toc3626"/>
      <w:bookmarkStart w:id="609" w:name="_Toc18348"/>
      <w:bookmarkStart w:id="610" w:name="_Toc26002"/>
      <w:r>
        <w:rPr>
          <w:rFonts w:hint="eastAsia" w:ascii="黑体" w:hAnsi="黑体" w:eastAsia="黑体" w:cs="黑体"/>
          <w:b/>
          <w:bCs/>
          <w:sz w:val="30"/>
          <w:szCs w:val="30"/>
        </w:rPr>
        <w:t>毕业生考取上海公安警察学员的情况</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r>
        <w:rPr>
          <w:rFonts w:hint="eastAsia" w:ascii="宋体" w:hAnsi="宋体" w:eastAsia="宋体" w:cs="宋体"/>
          <w:color w:val="333333"/>
          <w:kern w:val="0"/>
          <w:sz w:val="24"/>
          <w:szCs w:val="24"/>
          <w:shd w:val="clear" w:color="auto" w:fill="FFFFFF"/>
          <w:lang w:val="en-US"/>
        </w:rPr>
        <w:t>学校2019届毕业生中共有12名毕业生顺利考取上海公安学院（原上海公安高等专科学校）警察学员。他们入校后，经过1年半全日制学习，将奔赴上海市各类警察岗位。</w:t>
      </w:r>
    </w:p>
    <w:p>
      <w:pPr>
        <w:numPr>
          <w:ilvl w:val="0"/>
          <w:numId w:val="2"/>
        </w:numPr>
        <w:spacing w:line="600" w:lineRule="auto"/>
        <w:outlineLvl w:val="0"/>
        <w:rPr>
          <w:rFonts w:ascii="黑体" w:hAnsi="黑体" w:eastAsia="黑体" w:cs="黑体"/>
          <w:b/>
          <w:bCs/>
          <w:sz w:val="30"/>
          <w:szCs w:val="30"/>
        </w:rPr>
      </w:pPr>
      <w:bookmarkStart w:id="611" w:name="_Toc12156"/>
      <w:bookmarkStart w:id="612" w:name="_Toc8034"/>
      <w:bookmarkStart w:id="613" w:name="_Toc4674"/>
      <w:bookmarkStart w:id="614" w:name="_Toc19933"/>
      <w:r>
        <w:rPr>
          <w:rFonts w:hint="eastAsia" w:ascii="黑体" w:hAnsi="黑体" w:eastAsia="黑体" w:cs="黑体"/>
          <w:b/>
          <w:bCs/>
          <w:sz w:val="30"/>
          <w:szCs w:val="30"/>
        </w:rPr>
        <w:t>录用2019届毕业生人数较多的用人单位</w:t>
      </w:r>
      <w:bookmarkEnd w:id="611"/>
      <w:bookmarkEnd w:id="612"/>
      <w:bookmarkEnd w:id="613"/>
      <w:bookmarkEnd w:id="614"/>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bidi="ar"/>
        </w:rPr>
      </w:pPr>
      <w:r>
        <w:rPr>
          <w:rFonts w:hint="eastAsia" w:ascii="宋体" w:hAnsi="宋体" w:eastAsia="宋体" w:cs="宋体"/>
          <w:color w:val="333333"/>
          <w:kern w:val="0"/>
          <w:sz w:val="24"/>
          <w:szCs w:val="24"/>
          <w:shd w:val="clear" w:color="auto" w:fill="FFFFFF"/>
          <w:lang w:val="en-US" w:bidi="ar"/>
        </w:rPr>
        <w:t>录用2019届毕业生人数较多的单位有“上海星巴克咖啡经营有限公司（63人）”、“</w:t>
      </w:r>
      <w:r>
        <w:rPr>
          <w:rFonts w:hint="eastAsia" w:ascii="宋体" w:hAnsi="宋体" w:eastAsia="宋体" w:cs="宋体"/>
          <w:color w:val="000000"/>
          <w:kern w:val="0"/>
          <w:sz w:val="24"/>
          <w:szCs w:val="24"/>
          <w:lang w:val="en-US" w:bidi="ar"/>
        </w:rPr>
        <w:t>上海广源人力资源有限公司（40人）</w:t>
      </w:r>
      <w:r>
        <w:rPr>
          <w:rFonts w:hint="eastAsia" w:ascii="宋体" w:hAnsi="宋体" w:eastAsia="宋体" w:cs="宋体"/>
          <w:color w:val="333333"/>
          <w:kern w:val="0"/>
          <w:sz w:val="24"/>
          <w:szCs w:val="24"/>
          <w:shd w:val="clear" w:color="auto" w:fill="FFFFFF"/>
          <w:lang w:val="en-US" w:bidi="ar"/>
        </w:rPr>
        <w:t>”、“</w:t>
      </w:r>
      <w:r>
        <w:rPr>
          <w:rFonts w:hint="eastAsia" w:ascii="宋体" w:hAnsi="宋体" w:eastAsia="宋体" w:cs="宋体"/>
          <w:color w:val="000000"/>
          <w:kern w:val="0"/>
          <w:sz w:val="24"/>
          <w:szCs w:val="24"/>
          <w:lang w:val="en-US" w:bidi="ar"/>
        </w:rPr>
        <w:t>复旦大学附属华山医院（31人）</w:t>
      </w:r>
      <w:r>
        <w:rPr>
          <w:rFonts w:hint="eastAsia" w:ascii="宋体" w:hAnsi="宋体" w:eastAsia="宋体" w:cs="宋体"/>
          <w:color w:val="333333"/>
          <w:kern w:val="0"/>
          <w:sz w:val="24"/>
          <w:szCs w:val="24"/>
          <w:shd w:val="clear" w:color="auto" w:fill="FFFFFF"/>
          <w:lang w:val="en-US" w:bidi="ar"/>
        </w:rPr>
        <w:t>”、“</w:t>
      </w:r>
      <w:r>
        <w:rPr>
          <w:rFonts w:hint="eastAsia" w:ascii="宋体" w:hAnsi="宋体" w:eastAsia="宋体" w:cs="宋体"/>
          <w:color w:val="000000"/>
          <w:kern w:val="0"/>
          <w:sz w:val="24"/>
          <w:szCs w:val="24"/>
          <w:lang w:val="en-US" w:bidi="ar"/>
        </w:rPr>
        <w:t>上汽大众汽车有限公司新能源汽车分公司</w:t>
      </w:r>
      <w:r>
        <w:rPr>
          <w:rFonts w:hint="eastAsia" w:ascii="宋体" w:hAnsi="宋体" w:eastAsia="宋体" w:cs="宋体"/>
          <w:color w:val="333333"/>
          <w:kern w:val="0"/>
          <w:sz w:val="24"/>
          <w:szCs w:val="24"/>
          <w:shd w:val="clear" w:color="auto" w:fill="FFFFFF"/>
          <w:lang w:val="en-US" w:bidi="ar"/>
        </w:rPr>
        <w:t>”22人、“</w:t>
      </w:r>
      <w:r>
        <w:rPr>
          <w:rFonts w:hint="eastAsia" w:ascii="宋体" w:hAnsi="宋体" w:eastAsia="宋体" w:cs="宋体"/>
          <w:color w:val="000000"/>
          <w:kern w:val="0"/>
          <w:sz w:val="24"/>
          <w:szCs w:val="24"/>
          <w:lang w:val="en-US" w:bidi="ar"/>
        </w:rPr>
        <w:t>复旦大学附属肿瘤医院</w:t>
      </w:r>
      <w:r>
        <w:rPr>
          <w:rFonts w:hint="eastAsia" w:ascii="宋体" w:hAnsi="宋体" w:eastAsia="宋体" w:cs="宋体"/>
          <w:color w:val="333333"/>
          <w:kern w:val="0"/>
          <w:sz w:val="24"/>
          <w:szCs w:val="24"/>
          <w:shd w:val="clear" w:color="auto" w:fill="FFFFFF"/>
          <w:lang w:val="en-US" w:bidi="ar"/>
        </w:rPr>
        <w:t>（19人）”、“</w:t>
      </w:r>
      <w:r>
        <w:rPr>
          <w:rFonts w:hint="eastAsia" w:ascii="宋体" w:hAnsi="宋体" w:eastAsia="宋体" w:cs="宋体"/>
          <w:color w:val="000000"/>
          <w:kern w:val="0"/>
          <w:sz w:val="24"/>
          <w:szCs w:val="24"/>
          <w:lang w:val="en-US" w:bidi="ar"/>
        </w:rPr>
        <w:t>上海雇员人才服务有限公司（18人）</w:t>
      </w:r>
      <w:r>
        <w:rPr>
          <w:rFonts w:hint="eastAsia" w:ascii="宋体" w:hAnsi="宋体" w:eastAsia="宋体" w:cs="宋体"/>
          <w:color w:val="333333"/>
          <w:kern w:val="0"/>
          <w:sz w:val="24"/>
          <w:szCs w:val="24"/>
          <w:shd w:val="clear" w:color="auto" w:fill="FFFFFF"/>
          <w:lang w:val="en-US" w:bidi="ar"/>
        </w:rPr>
        <w:t>”、“</w:t>
      </w:r>
      <w:r>
        <w:rPr>
          <w:rFonts w:hint="eastAsia" w:ascii="宋体" w:hAnsi="宋体" w:eastAsia="宋体" w:cs="宋体"/>
          <w:color w:val="000000"/>
          <w:kern w:val="0"/>
          <w:sz w:val="24"/>
          <w:szCs w:val="24"/>
          <w:lang w:val="en-US" w:bidi="ar"/>
        </w:rPr>
        <w:t>北京中科航天人才服务有限公司上海分公司</w:t>
      </w:r>
      <w:r>
        <w:rPr>
          <w:rFonts w:hint="eastAsia" w:ascii="宋体" w:hAnsi="宋体" w:eastAsia="宋体" w:cs="宋体"/>
          <w:color w:val="333333"/>
          <w:kern w:val="0"/>
          <w:sz w:val="24"/>
          <w:szCs w:val="24"/>
          <w:shd w:val="clear" w:color="auto" w:fill="FFFFFF"/>
          <w:lang w:val="en-US" w:bidi="ar"/>
        </w:rPr>
        <w:t>（15人）”，录用人数均保持在15人及以上。（表1-10所示）</w:t>
      </w:r>
    </w:p>
    <w:p>
      <w:pPr>
        <w:pStyle w:val="2"/>
        <w:spacing w:line="360" w:lineRule="auto"/>
        <w:ind w:firstLine="400" w:firstLineChars="200"/>
        <w:jc w:val="center"/>
        <w:rPr>
          <w:rFonts w:ascii="宋体" w:hAnsi="宋体" w:eastAsia="宋体" w:cs="宋体"/>
          <w:color w:val="333333"/>
          <w:kern w:val="0"/>
          <w:sz w:val="24"/>
          <w:szCs w:val="24"/>
          <w:shd w:val="clear" w:color="auto" w:fill="FFFFFF"/>
          <w:lang w:val="en-US" w:bidi="ar"/>
        </w:rPr>
      </w:pPr>
      <w:r>
        <w:rPr>
          <w:rFonts w:hint="eastAsia" w:ascii="微软雅黑" w:hAnsi="微软雅黑" w:eastAsia="微软雅黑" w:cs="微软雅黑"/>
          <w:b/>
          <w:bCs/>
          <w:color w:val="333333"/>
          <w:kern w:val="0"/>
          <w:sz w:val="20"/>
          <w:szCs w:val="20"/>
          <w:shd w:val="clear" w:color="auto" w:fill="FFFFFF"/>
          <w:lang w:val="en-US" w:bidi="ar"/>
        </w:rPr>
        <w:t>表1-10 录用2019届毕业生人数较多的用人单位分布</w:t>
      </w:r>
    </w:p>
    <w:tbl>
      <w:tblPr>
        <w:tblStyle w:val="9"/>
        <w:tblW w:w="53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0"/>
        <w:gridCol w:w="6704"/>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6" w:type="pct"/>
            <w:shd w:val="clear" w:color="auto" w:fill="4F81BD"/>
            <w:noWrap/>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lang w:bidi="ar"/>
              </w:rPr>
              <w:t>序号</w:t>
            </w:r>
          </w:p>
        </w:tc>
        <w:tc>
          <w:tcPr>
            <w:tcW w:w="3789" w:type="pct"/>
            <w:shd w:val="clear" w:color="auto" w:fill="4F81BD"/>
            <w:noWrap/>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lang w:bidi="ar"/>
              </w:rPr>
              <w:t>单位名称</w:t>
            </w:r>
          </w:p>
        </w:tc>
        <w:tc>
          <w:tcPr>
            <w:tcW w:w="684" w:type="pct"/>
            <w:shd w:val="clear" w:color="auto" w:fill="4F81BD"/>
            <w:noWrap/>
            <w:tcMar>
              <w:top w:w="15" w:type="dxa"/>
              <w:left w:w="15" w:type="dxa"/>
              <w:right w:w="15" w:type="dxa"/>
            </w:tcMar>
            <w:vAlign w:val="center"/>
          </w:tcPr>
          <w:p>
            <w:pPr>
              <w:widowControl/>
              <w:jc w:val="center"/>
              <w:textAlignment w:val="center"/>
              <w:rPr>
                <w:rFonts w:ascii="宋体" w:hAnsi="宋体" w:cs="宋体"/>
                <w:b/>
                <w:bCs/>
                <w:color w:val="FFFFFF"/>
                <w:sz w:val="24"/>
              </w:rPr>
            </w:pPr>
            <w:r>
              <w:rPr>
                <w:rFonts w:hint="eastAsia" w:ascii="宋体" w:hAnsi="宋体" w:cs="宋体"/>
                <w:b/>
                <w:bCs/>
                <w:color w:val="FFFFFF"/>
                <w:kern w:val="0"/>
                <w:sz w:val="24"/>
                <w:lang w:bidi="ar"/>
              </w:rPr>
              <w:t>签约人数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3789"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上海星巴克咖啡经营有限公司</w:t>
            </w:r>
          </w:p>
        </w:tc>
        <w:tc>
          <w:tcPr>
            <w:tcW w:w="684"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3789"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上海广源人力资源有限公司</w:t>
            </w:r>
          </w:p>
        </w:tc>
        <w:tc>
          <w:tcPr>
            <w:tcW w:w="684"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3789"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复旦大学附属华山医院</w:t>
            </w:r>
          </w:p>
        </w:tc>
        <w:tc>
          <w:tcPr>
            <w:tcW w:w="684"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4</w:t>
            </w:r>
          </w:p>
        </w:tc>
        <w:tc>
          <w:tcPr>
            <w:tcW w:w="3789"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上汽大众汽车有限公司新能源汽车分公司</w:t>
            </w:r>
          </w:p>
        </w:tc>
        <w:tc>
          <w:tcPr>
            <w:tcW w:w="684"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3789"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复旦大学附属肿瘤医院</w:t>
            </w:r>
          </w:p>
        </w:tc>
        <w:tc>
          <w:tcPr>
            <w:tcW w:w="684"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6"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3789"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上海雇员人才服务有限公司</w:t>
            </w:r>
          </w:p>
        </w:tc>
        <w:tc>
          <w:tcPr>
            <w:tcW w:w="684" w:type="pct"/>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26"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w:t>
            </w:r>
          </w:p>
        </w:tc>
        <w:tc>
          <w:tcPr>
            <w:tcW w:w="3789"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北京中科航天人才服务有限公司上海分公司</w:t>
            </w:r>
          </w:p>
        </w:tc>
        <w:tc>
          <w:tcPr>
            <w:tcW w:w="684" w:type="pct"/>
            <w:shd w:val="clear" w:color="auto" w:fill="B8CCE4"/>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r>
    </w:tbl>
    <w:p>
      <w:pPr>
        <w:pStyle w:val="2"/>
        <w:spacing w:line="360" w:lineRule="auto"/>
        <w:rPr>
          <w:rFonts w:ascii="宋体" w:hAnsi="宋体" w:eastAsia="宋体" w:cs="宋体"/>
          <w:color w:val="000000"/>
          <w:sz w:val="24"/>
        </w:rPr>
      </w:pPr>
      <w:r>
        <w:rPr>
          <w:rFonts w:hint="eastAsia" w:ascii="微软雅黑" w:hAnsi="微软雅黑" w:eastAsia="微软雅黑" w:cs="微软雅黑"/>
          <w:b/>
          <w:bCs/>
          <w:kern w:val="0"/>
          <w:sz w:val="20"/>
          <w:szCs w:val="20"/>
          <w:shd w:val="clear" w:color="auto" w:fill="FFFFFF"/>
          <w:lang w:val="en-US"/>
        </w:rPr>
        <w:t>注：本表按照各单位签约人数由高到低排序。</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bidi="ar"/>
        </w:rPr>
      </w:pPr>
      <w:r>
        <w:rPr>
          <w:rFonts w:hint="eastAsia" w:ascii="宋体" w:hAnsi="宋体" w:eastAsia="宋体" w:cs="宋体"/>
          <w:color w:val="333333"/>
          <w:kern w:val="0"/>
          <w:sz w:val="24"/>
          <w:szCs w:val="24"/>
          <w:shd w:val="clear" w:color="auto" w:fill="FFFFFF"/>
          <w:lang w:val="en-US" w:bidi="ar"/>
        </w:rPr>
        <w:t>另外还有不少优秀毕业生被重点领域的高新技术企业和国有大中型重点企业录用，学校毕业生的就业层次在不断提高。</w:t>
      </w: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pStyle w:val="2"/>
        <w:spacing w:line="360" w:lineRule="auto"/>
        <w:ind w:firstLine="480" w:firstLineChars="200"/>
        <w:jc w:val="left"/>
        <w:rPr>
          <w:rFonts w:ascii="宋体" w:hAnsi="宋体" w:eastAsia="宋体" w:cs="宋体"/>
          <w:color w:val="333333"/>
          <w:kern w:val="0"/>
          <w:sz w:val="24"/>
          <w:szCs w:val="24"/>
          <w:shd w:val="clear" w:color="auto" w:fill="FFFFFF"/>
          <w:lang w:val="en-US"/>
        </w:rPr>
      </w:pPr>
    </w:p>
    <w:p>
      <w:pPr>
        <w:spacing w:line="600" w:lineRule="auto"/>
        <w:rPr>
          <w:rFonts w:ascii="黑体" w:hAnsi="黑体" w:eastAsia="黑体" w:cs="黑体"/>
          <w:b/>
          <w:bCs/>
          <w:sz w:val="30"/>
          <w:szCs w:val="30"/>
        </w:rPr>
      </w:pPr>
      <w:r>
        <w:rPr>
          <w:rFonts w:ascii="Times New Roman"/>
          <w:sz w:val="20"/>
        </w:rPr>
        <w:pict>
          <v:shape id="_x0000_s1028" o:spid="_x0000_s1028" o:spt="202" type="#_x0000_t202" style="height:34pt;width:416.05pt;" fillcolor="#990000" filled="t" stroked="f" coordsize="21600,21600">
            <v:path/>
            <v:fill on="t" focussize="0,0"/>
            <v:stroke on="f" weight="0.48pt" joinstyle="miter"/>
            <v:imagedata o:title=""/>
            <o:lock v:ext="edit"/>
            <v:textbox inset="0mm,0mm,0mm,0mm">
              <w:txbxContent>
                <w:p>
                  <w:pPr>
                    <w:jc w:val="center"/>
                    <w:rPr>
                      <w:rFonts w:ascii="黑体" w:eastAsia="黑体"/>
                      <w:b/>
                      <w:sz w:val="32"/>
                    </w:rPr>
                  </w:pPr>
                  <w:r>
                    <w:rPr>
                      <w:rFonts w:hint="eastAsia" w:ascii="黑体" w:eastAsia="黑体"/>
                      <w:b/>
                      <w:color w:val="FFFFFF"/>
                      <w:sz w:val="32"/>
                    </w:rPr>
                    <w:t>第二部分  毕业生就业质量分析</w:t>
                  </w:r>
                </w:p>
                <w:p>
                  <w:pPr>
                    <w:spacing w:line="360" w:lineRule="auto"/>
                    <w:jc w:val="center"/>
                    <w:rPr>
                      <w:rFonts w:ascii="黑体" w:eastAsia="黑体"/>
                      <w:b/>
                      <w:color w:val="FFFFFF"/>
                      <w:sz w:val="32"/>
                    </w:rPr>
                  </w:pPr>
                </w:p>
              </w:txbxContent>
            </v:textbox>
            <w10:wrap type="none"/>
            <w10:anchorlock/>
          </v:shape>
        </w:pict>
      </w:r>
    </w:p>
    <w:p>
      <w:pPr>
        <w:spacing w:line="360" w:lineRule="auto"/>
        <w:jc w:val="left"/>
        <w:rPr>
          <w:rFonts w:ascii="宋体" w:hAnsi="宋体" w:cs="宋体"/>
          <w:sz w:val="24"/>
          <w:szCs w:val="32"/>
        </w:rPr>
      </w:pPr>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从毕业生视角评价高校毕业生的就业质量，可以较全面的了解毕业生当前的就业现状及其竞争优劣势。</w:t>
      </w:r>
    </w:p>
    <w:p>
      <w:pPr>
        <w:numPr>
          <w:ilvl w:val="0"/>
          <w:numId w:val="8"/>
        </w:numPr>
        <w:spacing w:line="600" w:lineRule="auto"/>
        <w:outlineLvl w:val="0"/>
        <w:rPr>
          <w:rFonts w:ascii="黑体" w:hAnsi="黑体" w:eastAsia="黑体" w:cs="黑体"/>
          <w:b/>
          <w:color w:val="000000"/>
          <w:sz w:val="30"/>
          <w:szCs w:val="30"/>
        </w:rPr>
      </w:pPr>
      <w:bookmarkStart w:id="615" w:name="_Toc24994"/>
      <w:bookmarkStart w:id="616" w:name="_Toc25016"/>
      <w:bookmarkStart w:id="617" w:name="_Toc3842"/>
      <w:bookmarkStart w:id="618" w:name="_Toc13765"/>
      <w:bookmarkStart w:id="619" w:name="_Toc27572"/>
      <w:bookmarkStart w:id="620" w:name="_Toc22808"/>
      <w:bookmarkStart w:id="621" w:name="_Toc4326"/>
      <w:bookmarkStart w:id="622" w:name="_Toc27294"/>
      <w:bookmarkStart w:id="623" w:name="_Toc14325"/>
      <w:bookmarkStart w:id="624" w:name="_Toc24683"/>
      <w:bookmarkStart w:id="625" w:name="_Toc23363"/>
      <w:bookmarkStart w:id="626" w:name="_Toc25885"/>
      <w:bookmarkStart w:id="627" w:name="_Toc8664"/>
      <w:bookmarkStart w:id="628" w:name="_Toc10100"/>
      <w:bookmarkStart w:id="629" w:name="_Toc9344"/>
      <w:bookmarkStart w:id="630" w:name="_Toc22872"/>
      <w:bookmarkStart w:id="631" w:name="_Toc23103"/>
      <w:bookmarkStart w:id="632" w:name="_Toc17687"/>
      <w:bookmarkStart w:id="633" w:name="_Toc12818"/>
      <w:bookmarkStart w:id="634" w:name="_Toc27451"/>
      <w:bookmarkStart w:id="635" w:name="_Toc24913"/>
      <w:bookmarkStart w:id="636" w:name="_Toc5192"/>
      <w:bookmarkStart w:id="637" w:name="_Toc32617"/>
      <w:bookmarkStart w:id="638" w:name="_Toc10419"/>
      <w:r>
        <w:rPr>
          <w:rFonts w:hint="eastAsia" w:ascii="黑体" w:hAnsi="黑体" w:eastAsia="黑体" w:cs="黑体"/>
          <w:b/>
          <w:color w:val="000000"/>
          <w:sz w:val="30"/>
          <w:szCs w:val="30"/>
        </w:rPr>
        <w:t>毕业生从事工作与所学专业对口度</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2"/>
        <w:numPr>
          <w:ilvl w:val="0"/>
          <w:numId w:val="9"/>
        </w:numPr>
        <w:spacing w:line="600" w:lineRule="auto"/>
        <w:outlineLvl w:val="1"/>
        <w:rPr>
          <w:rFonts w:ascii="黑体" w:hAnsi="黑体" w:eastAsia="黑体" w:cs="黑体"/>
          <w:b/>
          <w:bCs/>
          <w:lang w:val="en-US"/>
        </w:rPr>
      </w:pPr>
      <w:bookmarkStart w:id="639" w:name="_Toc24248"/>
      <w:bookmarkStart w:id="640" w:name="_Toc14751"/>
      <w:bookmarkStart w:id="641" w:name="_Toc19289"/>
      <w:bookmarkStart w:id="642" w:name="_Toc6332"/>
      <w:bookmarkStart w:id="643" w:name="_Toc10022"/>
      <w:bookmarkStart w:id="644" w:name="_Toc1413"/>
      <w:bookmarkStart w:id="645" w:name="_Toc7134"/>
      <w:bookmarkStart w:id="646" w:name="_Toc21055"/>
      <w:bookmarkStart w:id="647" w:name="_Toc7098"/>
      <w:bookmarkStart w:id="648" w:name="_Toc25918"/>
      <w:bookmarkStart w:id="649" w:name="_Toc8682"/>
      <w:bookmarkStart w:id="650" w:name="_Toc1535"/>
      <w:bookmarkStart w:id="651" w:name="_Toc16834"/>
      <w:bookmarkStart w:id="652" w:name="_Toc4910"/>
      <w:bookmarkStart w:id="653" w:name="_Toc30484"/>
      <w:bookmarkStart w:id="654" w:name="_Toc27918"/>
      <w:bookmarkStart w:id="655" w:name="_Toc22922"/>
      <w:bookmarkStart w:id="656" w:name="_Toc4367"/>
      <w:bookmarkStart w:id="657" w:name="_Toc9147"/>
      <w:bookmarkStart w:id="658" w:name="_Toc14133"/>
      <w:bookmarkStart w:id="659" w:name="_Toc22087"/>
      <w:bookmarkStart w:id="660" w:name="_Toc28415"/>
      <w:bookmarkStart w:id="661" w:name="_Toc1888"/>
      <w:bookmarkStart w:id="662" w:name="_Toc22863"/>
      <w:bookmarkStart w:id="663" w:name="_Toc27824"/>
      <w:bookmarkStart w:id="664" w:name="_Toc21442"/>
      <w:bookmarkStart w:id="665" w:name="_Toc11632"/>
      <w:bookmarkStart w:id="666" w:name="_Toc10882"/>
      <w:r>
        <w:rPr>
          <w:rFonts w:hint="eastAsia" w:ascii="黑体" w:hAnsi="黑体" w:eastAsia="黑体" w:cs="黑体"/>
          <w:b/>
          <w:bCs/>
          <w:lang w:val="en-US"/>
        </w:rPr>
        <w:t>毕业生从事工作与所学专业的对口情况</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spacing w:line="360" w:lineRule="auto"/>
        <w:ind w:firstLine="472" w:firstLineChars="200"/>
        <w:jc w:val="left"/>
        <w:rPr>
          <w:rFonts w:ascii="宋体" w:hAnsi="宋体" w:cs="宋体"/>
          <w:spacing w:val="-2"/>
          <w:sz w:val="24"/>
          <w:lang w:bidi="zh-CN"/>
        </w:rPr>
      </w:pPr>
      <w:r>
        <w:rPr>
          <w:rFonts w:hint="eastAsia" w:ascii="宋体" w:hAnsi="宋体" w:cs="宋体"/>
          <w:spacing w:val="-2"/>
          <w:sz w:val="24"/>
          <w:lang w:val="zh-CN" w:bidi="zh-CN"/>
        </w:rPr>
        <w:t>毕业生从事工作与所学专业的对口度</w:t>
      </w:r>
      <w:r>
        <w:rPr>
          <w:rFonts w:hint="eastAsia" w:ascii="宋体" w:hAnsi="宋体" w:cs="宋体"/>
          <w:spacing w:val="-2"/>
          <w:sz w:val="24"/>
          <w:lang w:bidi="zh-CN"/>
        </w:rPr>
        <w:t>=“非常对口”+“比较对口”+“一般”。</w:t>
      </w:r>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调查显示，上海立达学院</w:t>
      </w:r>
      <w:r>
        <w:rPr>
          <w:rFonts w:hint="eastAsia" w:ascii="宋体" w:hAnsi="宋体" w:cs="宋体"/>
          <w:spacing w:val="-2"/>
          <w:sz w:val="24"/>
          <w:lang w:bidi="zh-CN"/>
        </w:rPr>
        <w:t>2019届毕业生从事工作与所学专业对口度为79.47</w:t>
      </w:r>
      <w:r>
        <w:rPr>
          <w:rFonts w:hint="eastAsia" w:ascii="宋体" w:hAnsi="宋体" w:cs="宋体"/>
          <w:spacing w:val="-2"/>
          <w:sz w:val="24"/>
          <w:lang w:val="zh-CN" w:bidi="zh-CN"/>
        </w:rPr>
        <w:t>%，反映出绝大部分毕业生表示自己所从事工作与所学专业对口（相关）。</w:t>
      </w:r>
      <w:r>
        <w:rPr>
          <w:rFonts w:hint="eastAsia" w:ascii="宋体" w:hAnsi="宋体" w:cs="宋体"/>
          <w:spacing w:val="-2"/>
          <w:sz w:val="24"/>
        </w:rPr>
        <w:t>其中，有34.98%的毕业生表示所从事工作与所学专业非常对口，31.53%的毕业生表示所从事工作与专业比较对口。另外，还有5.33%的毕业生表示所从事的工作与所学专业非常不对口，有15.20%的毕业生表示所从事的工作与所学专业比较不对口。</w:t>
      </w:r>
      <w:r>
        <w:rPr>
          <w:rFonts w:hint="eastAsia" w:ascii="宋体" w:hAnsi="宋体" w:cs="宋体"/>
          <w:spacing w:val="-2"/>
          <w:sz w:val="24"/>
          <w:lang w:val="zh-CN" w:bidi="zh-CN"/>
        </w:rPr>
        <w:t>（如图2-1所示）</w:t>
      </w:r>
    </w:p>
    <w:p>
      <w:pPr>
        <w:spacing w:line="360" w:lineRule="auto"/>
        <w:ind w:firstLine="472" w:firstLineChars="200"/>
        <w:jc w:val="left"/>
        <w:rPr>
          <w:rFonts w:ascii="宋体" w:hAnsi="宋体" w:cs="宋体"/>
          <w:spacing w:val="-2"/>
          <w:sz w:val="24"/>
          <w:lang w:val="zh-CN" w:bidi="zh-CN"/>
        </w:rPr>
      </w:pPr>
    </w:p>
    <w:p>
      <w:pPr>
        <w:spacing w:line="360" w:lineRule="auto"/>
        <w:ind w:firstLine="420" w:firstLineChars="200"/>
        <w:jc w:val="center"/>
        <w:rPr>
          <w:rFonts w:ascii="宋体" w:hAnsi="宋体" w:cs="宋体"/>
          <w:spacing w:val="-2"/>
          <w:sz w:val="24"/>
          <w:lang w:val="zh-CN" w:bidi="zh-CN"/>
        </w:rPr>
      </w:pPr>
      <w:r>
        <w:drawing>
          <wp:inline distT="0" distB="0" distL="114300" distR="114300">
            <wp:extent cx="4572000" cy="3162300"/>
            <wp:effectExtent l="4445" t="4445" r="14605" b="14605"/>
            <wp:docPr id="3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2"/>
        <w:spacing w:line="360" w:lineRule="auto"/>
        <w:ind w:firstLine="400" w:firstLineChars="200"/>
        <w:jc w:val="center"/>
        <w:rPr>
          <w:rFonts w:ascii="微软雅黑" w:hAnsi="微软雅黑" w:eastAsia="微软雅黑" w:cs="微软雅黑"/>
          <w:b/>
          <w:bCs/>
          <w:color w:val="333333"/>
          <w:kern w:val="0"/>
          <w:sz w:val="20"/>
          <w:szCs w:val="20"/>
          <w:shd w:val="clear" w:color="auto" w:fill="FFFFFF"/>
          <w:lang w:val="en-US"/>
        </w:rPr>
      </w:pPr>
      <w:r>
        <w:rPr>
          <w:rFonts w:hint="eastAsia" w:ascii="微软雅黑" w:hAnsi="微软雅黑" w:eastAsia="微软雅黑" w:cs="微软雅黑"/>
          <w:b/>
          <w:bCs/>
          <w:color w:val="333333"/>
          <w:kern w:val="0"/>
          <w:sz w:val="20"/>
          <w:szCs w:val="20"/>
          <w:shd w:val="clear" w:color="auto" w:fill="FFFFFF"/>
          <w:lang w:val="en-US"/>
        </w:rPr>
        <w:t>图2-1 毕业生从事工作与所学专业的对口情况</w:t>
      </w:r>
    </w:p>
    <w:p>
      <w:pPr>
        <w:pStyle w:val="2"/>
        <w:numPr>
          <w:ilvl w:val="0"/>
          <w:numId w:val="9"/>
        </w:numPr>
        <w:spacing w:line="600" w:lineRule="auto"/>
        <w:outlineLvl w:val="1"/>
        <w:rPr>
          <w:rFonts w:ascii="黑体" w:hAnsi="黑体" w:eastAsia="黑体" w:cs="黑体"/>
          <w:b/>
          <w:bCs/>
          <w:lang w:val="en-US"/>
        </w:rPr>
      </w:pPr>
      <w:bookmarkStart w:id="667" w:name="_Toc9155"/>
      <w:bookmarkStart w:id="668" w:name="_Toc29127"/>
      <w:bookmarkStart w:id="669" w:name="_Toc20466"/>
      <w:bookmarkStart w:id="670" w:name="_Toc15894"/>
      <w:bookmarkStart w:id="671" w:name="_Toc13091"/>
      <w:bookmarkStart w:id="672" w:name="_Toc28268"/>
      <w:bookmarkStart w:id="673" w:name="_Toc20924"/>
      <w:bookmarkStart w:id="674" w:name="_Toc18512"/>
      <w:bookmarkStart w:id="675" w:name="_Toc7003"/>
      <w:bookmarkStart w:id="676" w:name="_Toc4911"/>
      <w:bookmarkStart w:id="677" w:name="_Toc13774"/>
      <w:bookmarkStart w:id="678" w:name="_Toc4333"/>
      <w:bookmarkStart w:id="679" w:name="_Toc9340"/>
      <w:bookmarkStart w:id="680" w:name="_Toc30108"/>
      <w:bookmarkStart w:id="681" w:name="_Toc25179"/>
      <w:bookmarkStart w:id="682" w:name="_Toc15277"/>
      <w:bookmarkStart w:id="683" w:name="_Toc13371"/>
      <w:bookmarkStart w:id="684" w:name="_Toc10069"/>
      <w:bookmarkStart w:id="685" w:name="_Toc15370"/>
      <w:bookmarkStart w:id="686" w:name="_Toc13911"/>
      <w:bookmarkStart w:id="687" w:name="_Toc8459"/>
      <w:bookmarkStart w:id="688" w:name="_Toc2234"/>
      <w:bookmarkStart w:id="689" w:name="_Toc22195"/>
      <w:bookmarkStart w:id="690" w:name="_Toc12279"/>
      <w:bookmarkStart w:id="691" w:name="_Toc12326"/>
      <w:bookmarkStart w:id="692" w:name="_Toc12689"/>
      <w:bookmarkStart w:id="693" w:name="_Toc4353"/>
      <w:r>
        <w:rPr>
          <w:rFonts w:hint="eastAsia" w:ascii="黑体" w:hAnsi="黑体" w:eastAsia="黑体" w:cs="黑体"/>
          <w:b/>
          <w:bCs/>
          <w:lang w:val="en-US"/>
        </w:rPr>
        <w:t>毕业生从事低专业对口度工作的原因</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201</w:t>
      </w:r>
      <w:r>
        <w:rPr>
          <w:rFonts w:hint="eastAsia" w:ascii="宋体" w:hAnsi="宋体" w:cs="宋体"/>
          <w:spacing w:val="-2"/>
          <w:sz w:val="24"/>
          <w:lang w:bidi="zh-CN"/>
        </w:rPr>
        <w:t>9</w:t>
      </w:r>
      <w:r>
        <w:rPr>
          <w:rFonts w:hint="eastAsia" w:ascii="宋体" w:hAnsi="宋体" w:cs="宋体"/>
          <w:spacing w:val="-2"/>
          <w:sz w:val="24"/>
          <w:lang w:val="zh-CN" w:bidi="zh-CN"/>
        </w:rPr>
        <w:t>届毕业生中从事低专业对口度工作的主要原因有：“对口工作不符合兴趣（</w:t>
      </w:r>
      <w:r>
        <w:rPr>
          <w:rFonts w:hint="eastAsia" w:ascii="宋体" w:hAnsi="宋体" w:cs="宋体"/>
          <w:spacing w:val="-2"/>
          <w:sz w:val="24"/>
          <w:lang w:bidi="zh-CN"/>
        </w:rPr>
        <w:t>40.98</w:t>
      </w:r>
      <w:r>
        <w:rPr>
          <w:rFonts w:hint="eastAsia" w:ascii="宋体" w:hAnsi="宋体" w:cs="宋体"/>
          <w:spacing w:val="-2"/>
          <w:sz w:val="24"/>
          <w:lang w:val="zh-CN" w:bidi="zh-CN"/>
        </w:rPr>
        <w:t>%）”和“对口工作的要求过高（</w:t>
      </w:r>
      <w:r>
        <w:rPr>
          <w:rFonts w:hint="eastAsia" w:ascii="宋体" w:hAnsi="宋体" w:cs="宋体"/>
          <w:spacing w:val="-2"/>
          <w:sz w:val="24"/>
          <w:lang w:bidi="zh-CN"/>
        </w:rPr>
        <w:t>15.28%</w:t>
      </w:r>
      <w:r>
        <w:rPr>
          <w:rFonts w:hint="eastAsia" w:ascii="宋体" w:hAnsi="宋体" w:cs="宋体"/>
          <w:spacing w:val="-2"/>
          <w:sz w:val="24"/>
          <w:lang w:val="zh-CN" w:bidi="zh-CN"/>
        </w:rPr>
        <w:t>）”。</w:t>
      </w:r>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次要原因是“对口工作就业机会少（</w:t>
      </w:r>
      <w:r>
        <w:rPr>
          <w:rFonts w:hint="eastAsia" w:ascii="宋体" w:hAnsi="宋体" w:cs="宋体"/>
          <w:spacing w:val="-2"/>
          <w:sz w:val="24"/>
          <w:lang w:bidi="zh-CN"/>
        </w:rPr>
        <w:t>15.08%</w:t>
      </w:r>
      <w:r>
        <w:rPr>
          <w:rFonts w:hint="eastAsia" w:ascii="宋体" w:hAnsi="宋体" w:cs="宋体"/>
          <w:spacing w:val="-2"/>
          <w:sz w:val="24"/>
          <w:lang w:val="zh-CN" w:bidi="zh-CN"/>
        </w:rPr>
        <w:t>）”和“对口工作收入待遇较低（</w:t>
      </w:r>
      <w:r>
        <w:rPr>
          <w:rFonts w:hint="eastAsia" w:ascii="宋体" w:hAnsi="宋体" w:cs="宋体"/>
          <w:spacing w:val="-2"/>
          <w:sz w:val="24"/>
          <w:lang w:bidi="zh-CN"/>
        </w:rPr>
        <w:t>14.05</w:t>
      </w:r>
      <w:r>
        <w:rPr>
          <w:rFonts w:hint="eastAsia" w:ascii="宋体" w:hAnsi="宋体" w:cs="宋体"/>
          <w:spacing w:val="-2"/>
          <w:sz w:val="24"/>
          <w:lang w:val="zh-CN" w:bidi="zh-CN"/>
        </w:rPr>
        <w:t>%）”。（图</w:t>
      </w:r>
      <w:r>
        <w:rPr>
          <w:rFonts w:hint="eastAsia" w:ascii="宋体" w:hAnsi="宋体" w:cs="宋体"/>
          <w:spacing w:val="-2"/>
          <w:sz w:val="24"/>
          <w:lang w:bidi="zh-CN"/>
        </w:rPr>
        <w:t>2-2所示</w:t>
      </w:r>
      <w:r>
        <w:rPr>
          <w:rFonts w:hint="eastAsia" w:ascii="宋体" w:hAnsi="宋体" w:cs="宋体"/>
          <w:spacing w:val="-2"/>
          <w:sz w:val="24"/>
          <w:lang w:val="zh-CN" w:bidi="zh-CN"/>
        </w:rPr>
        <w:t>）</w:t>
      </w:r>
    </w:p>
    <w:p>
      <w:pPr>
        <w:spacing w:line="360" w:lineRule="auto"/>
        <w:ind w:firstLine="472" w:firstLineChars="200"/>
        <w:jc w:val="left"/>
        <w:rPr>
          <w:rFonts w:hint="eastAsia" w:ascii="宋体" w:hAnsi="宋体" w:cs="宋体"/>
          <w:spacing w:val="-2"/>
          <w:sz w:val="24"/>
          <w:lang w:val="zh-CN" w:bidi="zh-CN"/>
        </w:rPr>
      </w:pPr>
      <w:r>
        <w:rPr>
          <w:rFonts w:hint="eastAsia" w:ascii="宋体" w:hAnsi="宋体" w:cs="宋体"/>
          <w:spacing w:val="-2"/>
          <w:sz w:val="24"/>
          <w:lang w:val="zh-CN" w:bidi="zh-CN"/>
        </w:rPr>
        <w:t>继续加强同学们“理论联系实际”的业务能力提升培育工作，不断强化毕业生的专业知识结构和就业能力，快速接轨社会实操技能需求。</w:t>
      </w:r>
    </w:p>
    <w:p>
      <w:pPr>
        <w:spacing w:line="360" w:lineRule="auto"/>
        <w:ind w:firstLine="472" w:firstLineChars="200"/>
        <w:jc w:val="left"/>
        <w:rPr>
          <w:rFonts w:hint="eastAsia" w:ascii="宋体" w:hAnsi="宋体" w:cs="宋体"/>
          <w:spacing w:val="-2"/>
          <w:sz w:val="24"/>
          <w:lang w:val="zh-CN" w:bidi="zh-CN"/>
        </w:rPr>
      </w:pPr>
    </w:p>
    <w:p>
      <w:pPr>
        <w:pStyle w:val="2"/>
        <w:spacing w:line="360" w:lineRule="auto"/>
        <w:ind w:firstLine="560" w:firstLineChars="200"/>
        <w:jc w:val="center"/>
        <w:rPr>
          <w:rFonts w:ascii="宋体" w:hAnsi="宋体" w:eastAsia="宋体" w:cs="宋体"/>
          <w:spacing w:val="-2"/>
          <w:sz w:val="24"/>
          <w:szCs w:val="24"/>
        </w:rPr>
      </w:pPr>
      <w:r>
        <w:rPr>
          <w:lang w:val="en-US" w:bidi="ar-SA"/>
        </w:rPr>
        <w:drawing>
          <wp:inline distT="0" distB="0" distL="114300" distR="114300">
            <wp:extent cx="4572000" cy="3048635"/>
            <wp:effectExtent l="4445" t="4445" r="14605" b="13970"/>
            <wp:docPr id="2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480" w:lineRule="auto"/>
        <w:jc w:val="center"/>
        <w:rPr>
          <w:rFonts w:ascii="黑体" w:hAnsi="黑体" w:eastAsia="黑体" w:cs="黑体"/>
          <w:b/>
          <w:bCs/>
          <w:color w:val="333333"/>
          <w:kern w:val="0"/>
          <w:szCs w:val="21"/>
          <w:shd w:val="clear" w:color="auto" w:fill="FFFFFF"/>
        </w:rPr>
      </w:pPr>
      <w:r>
        <w:rPr>
          <w:rFonts w:hint="eastAsia" w:ascii="微软雅黑" w:hAnsi="微软雅黑" w:eastAsia="微软雅黑" w:cs="微软雅黑"/>
          <w:b/>
          <w:bCs/>
          <w:color w:val="333333"/>
          <w:kern w:val="0"/>
          <w:sz w:val="20"/>
          <w:szCs w:val="20"/>
          <w:shd w:val="clear" w:color="auto" w:fill="FFFFFF"/>
        </w:rPr>
        <w:t>图2-2  毕业生从事低专业对口度工作的原因</w:t>
      </w:r>
    </w:p>
    <w:p>
      <w:pPr>
        <w:pStyle w:val="2"/>
        <w:numPr>
          <w:ilvl w:val="0"/>
          <w:numId w:val="9"/>
        </w:numPr>
        <w:spacing w:line="600" w:lineRule="auto"/>
        <w:outlineLvl w:val="1"/>
        <w:rPr>
          <w:rFonts w:ascii="黑体" w:hAnsi="黑体" w:eastAsia="黑体" w:cs="黑体"/>
          <w:b/>
          <w:bCs/>
          <w:lang w:val="en-US"/>
        </w:rPr>
      </w:pPr>
      <w:bookmarkStart w:id="694" w:name="_Toc14898"/>
      <w:bookmarkStart w:id="695" w:name="_Toc2018"/>
      <w:bookmarkStart w:id="696" w:name="_Toc8068"/>
      <w:bookmarkStart w:id="697" w:name="_Toc7978"/>
      <w:bookmarkStart w:id="698" w:name="_Toc1717"/>
      <w:bookmarkStart w:id="699" w:name="_Toc26871"/>
      <w:bookmarkStart w:id="700" w:name="_Toc19469"/>
      <w:bookmarkStart w:id="701" w:name="_Toc15039"/>
      <w:bookmarkStart w:id="702" w:name="_Toc25111"/>
      <w:bookmarkStart w:id="703" w:name="_Toc16425"/>
      <w:bookmarkStart w:id="704" w:name="_Toc8847"/>
      <w:bookmarkStart w:id="705" w:name="_Toc25470"/>
      <w:bookmarkStart w:id="706" w:name="_Toc17657"/>
      <w:bookmarkStart w:id="707" w:name="_Toc2767"/>
      <w:bookmarkStart w:id="708" w:name="_Toc21937"/>
      <w:bookmarkStart w:id="709" w:name="_Toc14750"/>
      <w:bookmarkStart w:id="710" w:name="_Toc28876"/>
      <w:bookmarkStart w:id="711" w:name="_Toc20827"/>
      <w:bookmarkStart w:id="712" w:name="_Toc14622"/>
      <w:bookmarkStart w:id="713" w:name="_Toc29097"/>
      <w:bookmarkStart w:id="714" w:name="_Toc13553"/>
      <w:bookmarkStart w:id="715" w:name="_Toc17268"/>
      <w:bookmarkStart w:id="716" w:name="_Toc19130"/>
      <w:bookmarkStart w:id="717" w:name="_Toc3841"/>
      <w:bookmarkStart w:id="718" w:name="_Toc682"/>
      <w:bookmarkStart w:id="719" w:name="_Toc9398"/>
      <w:bookmarkStart w:id="720" w:name="_Toc32114"/>
      <w:bookmarkStart w:id="721" w:name="_Toc11306"/>
      <w:bookmarkStart w:id="722" w:name="_Toc7586"/>
      <w:bookmarkStart w:id="723" w:name="_Toc18594"/>
      <w:bookmarkStart w:id="724" w:name="_Toc15401"/>
      <w:bookmarkStart w:id="725" w:name="_Toc14102"/>
      <w:bookmarkStart w:id="726" w:name="_Toc11745"/>
      <w:bookmarkStart w:id="727" w:name="_Toc29247"/>
      <w:bookmarkStart w:id="728" w:name="_Toc16785"/>
      <w:r>
        <w:rPr>
          <w:rFonts w:hint="eastAsia" w:ascii="黑体" w:hAnsi="黑体" w:eastAsia="黑体" w:cs="黑体"/>
          <w:b/>
          <w:bCs/>
          <w:lang w:val="en-US"/>
        </w:rPr>
        <w:t>毕业生从事的工作与自身职业期待的符合程度情况</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spacing w:line="360" w:lineRule="auto"/>
        <w:ind w:firstLine="480" w:firstLineChars="200"/>
        <w:jc w:val="left"/>
        <w:rPr>
          <w:rFonts w:ascii="宋体" w:hAnsi="宋体" w:cs="宋体"/>
          <w:sz w:val="24"/>
        </w:rPr>
      </w:pPr>
      <w:r>
        <w:rPr>
          <w:rFonts w:hint="eastAsia" w:ascii="宋体" w:hAnsi="宋体" w:cs="宋体"/>
          <w:sz w:val="24"/>
        </w:rPr>
        <w:t>毕业生对从事的工作与自身职业期待的符合程度（即“非常符合”和“比较符合”、“一般”人数比例之和）为94.26%。</w:t>
      </w:r>
    </w:p>
    <w:p>
      <w:pPr>
        <w:spacing w:line="360" w:lineRule="auto"/>
        <w:ind w:firstLine="480" w:firstLineChars="200"/>
        <w:jc w:val="left"/>
        <w:rPr>
          <w:rFonts w:ascii="宋体" w:hAnsi="宋体" w:cs="宋体"/>
          <w:sz w:val="24"/>
        </w:rPr>
      </w:pPr>
      <w:r>
        <w:rPr>
          <w:rFonts w:hint="eastAsia" w:ascii="宋体" w:hAnsi="宋体" w:cs="宋体"/>
          <w:sz w:val="24"/>
        </w:rPr>
        <w:t>其中，表示“非常符合”的占比20.48%，表示“比较符合”的占比40.32%，表示“一般”的占比33.46%，表示“比较不符合”的占比3.92%,表示“非常不符合”的占比1.82%。（图2-3所示）</w:t>
      </w:r>
    </w:p>
    <w:p>
      <w:pPr>
        <w:spacing w:line="360" w:lineRule="auto"/>
        <w:ind w:firstLine="480" w:firstLineChars="200"/>
        <w:jc w:val="left"/>
        <w:rPr>
          <w:rFonts w:ascii="宋体" w:hAnsi="宋体" w:cs="宋体"/>
          <w:sz w:val="24"/>
        </w:rPr>
      </w:pPr>
    </w:p>
    <w:p>
      <w:pPr>
        <w:spacing w:line="480" w:lineRule="auto"/>
        <w:jc w:val="center"/>
        <w:rPr>
          <w:rFonts w:ascii="宋体" w:hAnsi="宋体" w:cs="宋体"/>
          <w:sz w:val="24"/>
        </w:rPr>
      </w:pPr>
      <w:r>
        <w:drawing>
          <wp:inline distT="0" distB="0" distL="114300" distR="114300">
            <wp:extent cx="4572000" cy="2729230"/>
            <wp:effectExtent l="4445" t="4445" r="14605" b="9525"/>
            <wp:docPr id="5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jc w:val="center"/>
        <w:rPr>
          <w:rFonts w:ascii="宋体" w:hAnsi="宋体" w:cs="宋体"/>
          <w:sz w:val="24"/>
          <w:lang w:val="zh-CN"/>
        </w:rPr>
      </w:pPr>
      <w:r>
        <w:rPr>
          <w:rFonts w:hint="eastAsia" w:ascii="微软雅黑" w:hAnsi="微软雅黑" w:eastAsia="微软雅黑" w:cs="微软雅黑"/>
          <w:b/>
          <w:bCs/>
          <w:sz w:val="20"/>
          <w:szCs w:val="20"/>
        </w:rPr>
        <w:t>图2-3 毕业生从事的工作与自身职业期待的符合程度情况</w:t>
      </w:r>
    </w:p>
    <w:p>
      <w:pPr>
        <w:numPr>
          <w:ilvl w:val="0"/>
          <w:numId w:val="8"/>
        </w:numPr>
        <w:spacing w:line="600" w:lineRule="auto"/>
        <w:outlineLvl w:val="0"/>
        <w:rPr>
          <w:rFonts w:ascii="黑体" w:hAnsi="黑体" w:eastAsia="黑体" w:cs="黑体"/>
          <w:b/>
          <w:color w:val="000000"/>
          <w:sz w:val="30"/>
          <w:szCs w:val="30"/>
        </w:rPr>
      </w:pPr>
      <w:bookmarkStart w:id="729" w:name="_Toc24995"/>
      <w:bookmarkStart w:id="730" w:name="_Toc23075"/>
      <w:bookmarkStart w:id="731" w:name="_Toc14411"/>
      <w:bookmarkStart w:id="732" w:name="_Toc11982"/>
      <w:bookmarkStart w:id="733" w:name="_Toc24508"/>
      <w:bookmarkStart w:id="734" w:name="_Toc6174"/>
      <w:bookmarkStart w:id="735" w:name="_Toc1550"/>
      <w:bookmarkStart w:id="736" w:name="_Toc26129"/>
      <w:bookmarkStart w:id="737" w:name="_Toc10225"/>
      <w:bookmarkStart w:id="738" w:name="_Toc17461"/>
      <w:bookmarkStart w:id="739" w:name="_Toc29472"/>
      <w:bookmarkStart w:id="740" w:name="_Toc6696"/>
      <w:bookmarkStart w:id="741" w:name="_Toc474"/>
      <w:bookmarkStart w:id="742" w:name="_Toc20180"/>
      <w:bookmarkStart w:id="743" w:name="_Toc20390"/>
      <w:bookmarkStart w:id="744" w:name="_Toc20458"/>
      <w:bookmarkStart w:id="745" w:name="_Toc30345"/>
      <w:bookmarkStart w:id="746" w:name="_Toc15668"/>
      <w:bookmarkStart w:id="747" w:name="_Toc29070"/>
      <w:bookmarkStart w:id="748" w:name="_Toc882"/>
      <w:bookmarkStart w:id="749" w:name="_Toc7858"/>
      <w:bookmarkStart w:id="750" w:name="_Toc25862"/>
      <w:bookmarkStart w:id="751" w:name="_Toc9843"/>
      <w:bookmarkStart w:id="752" w:name="_Toc30664"/>
      <w:bookmarkStart w:id="753" w:name="_Toc29638"/>
      <w:bookmarkStart w:id="754" w:name="_Toc9828"/>
      <w:bookmarkStart w:id="755" w:name="_Toc16934"/>
      <w:r>
        <w:rPr>
          <w:rFonts w:hint="eastAsia" w:ascii="黑体" w:hAnsi="黑体" w:eastAsia="黑体" w:cs="黑体"/>
          <w:b/>
          <w:color w:val="000000"/>
          <w:sz w:val="30"/>
          <w:szCs w:val="30"/>
        </w:rPr>
        <w:t>毕业生薪资待遇的情况分析</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2"/>
        <w:numPr>
          <w:ilvl w:val="0"/>
          <w:numId w:val="10"/>
        </w:numPr>
        <w:spacing w:line="600" w:lineRule="auto"/>
        <w:outlineLvl w:val="1"/>
        <w:rPr>
          <w:rFonts w:ascii="黑体" w:hAnsi="黑体" w:eastAsia="黑体" w:cs="黑体"/>
          <w:b/>
          <w:bCs/>
          <w:lang w:val="en-US"/>
        </w:rPr>
      </w:pPr>
      <w:bookmarkStart w:id="756" w:name="_Toc32207"/>
      <w:bookmarkStart w:id="757" w:name="_Toc5465"/>
      <w:bookmarkStart w:id="758" w:name="_Toc13717"/>
      <w:bookmarkStart w:id="759" w:name="_Toc13814"/>
      <w:bookmarkStart w:id="760" w:name="_Toc28416"/>
      <w:bookmarkStart w:id="761" w:name="_Toc18513"/>
      <w:bookmarkStart w:id="762" w:name="_Toc32282"/>
      <w:bookmarkStart w:id="763" w:name="_Toc3337"/>
      <w:bookmarkStart w:id="764" w:name="_Toc7541"/>
      <w:bookmarkStart w:id="765" w:name="_Toc24739"/>
      <w:bookmarkStart w:id="766" w:name="_Toc22152"/>
      <w:bookmarkStart w:id="767" w:name="_Toc7590"/>
      <w:bookmarkStart w:id="768" w:name="_Toc32025"/>
      <w:bookmarkStart w:id="769" w:name="_Toc30121"/>
      <w:bookmarkStart w:id="770" w:name="_Toc31005"/>
      <w:bookmarkStart w:id="771" w:name="_Toc16858"/>
      <w:bookmarkStart w:id="772" w:name="_Toc21597"/>
      <w:bookmarkStart w:id="773" w:name="_Toc13235"/>
      <w:bookmarkStart w:id="774" w:name="_Toc726"/>
      <w:bookmarkStart w:id="775" w:name="_Toc5307"/>
      <w:bookmarkStart w:id="776" w:name="_Toc1272"/>
      <w:bookmarkStart w:id="777" w:name="_Toc21544"/>
      <w:bookmarkStart w:id="778" w:name="_Toc13663"/>
      <w:bookmarkStart w:id="779" w:name="_Toc2660"/>
      <w:bookmarkStart w:id="780" w:name="_Toc29244"/>
      <w:bookmarkStart w:id="781" w:name="_Toc32416"/>
      <w:bookmarkStart w:id="782" w:name="_Toc9386"/>
      <w:r>
        <w:rPr>
          <w:rFonts w:hint="eastAsia" w:ascii="黑体" w:hAnsi="黑体" w:eastAsia="黑体" w:cs="黑体"/>
          <w:b/>
          <w:bCs/>
          <w:lang w:val="en-US"/>
        </w:rPr>
        <w:t>毕业生对薪资待遇的满意度</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“薪资待遇”作为毕业生择业时最关注的指标，也是毕业生对工作满意度评价的重要参考指标。</w:t>
      </w:r>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毕业生对薪资待遇的总体满意度（即“非常满意”和“比较满意”、“一般”人数比例之和）为</w:t>
      </w:r>
      <w:r>
        <w:rPr>
          <w:rFonts w:hint="eastAsia" w:ascii="宋体" w:hAnsi="宋体" w:cs="宋体"/>
          <w:spacing w:val="-2"/>
          <w:sz w:val="24"/>
          <w:lang w:bidi="zh-CN"/>
        </w:rPr>
        <w:t>83.93</w:t>
      </w:r>
      <w:r>
        <w:rPr>
          <w:rFonts w:hint="eastAsia" w:ascii="宋体" w:hAnsi="宋体" w:cs="宋体"/>
          <w:spacing w:val="-2"/>
          <w:sz w:val="24"/>
          <w:lang w:val="zh-CN" w:bidi="zh-CN"/>
        </w:rPr>
        <w:t>%。</w:t>
      </w:r>
    </w:p>
    <w:p>
      <w:pPr>
        <w:spacing w:line="360" w:lineRule="auto"/>
        <w:ind w:firstLine="472" w:firstLineChars="200"/>
        <w:jc w:val="left"/>
        <w:rPr>
          <w:rFonts w:ascii="宋体" w:hAnsi="宋体" w:cs="宋体"/>
          <w:spacing w:val="-2"/>
          <w:sz w:val="24"/>
          <w:lang w:bidi="zh-CN"/>
        </w:rPr>
      </w:pPr>
      <w:r>
        <w:rPr>
          <w:rFonts w:hint="eastAsia" w:ascii="宋体" w:hAnsi="宋体" w:cs="宋体"/>
          <w:spacing w:val="-2"/>
          <w:sz w:val="24"/>
          <w:lang w:val="zh-CN" w:bidi="zh-CN"/>
        </w:rPr>
        <w:t>其中，表示“非常满意”的占比</w:t>
      </w:r>
      <w:r>
        <w:rPr>
          <w:rFonts w:hint="eastAsia" w:ascii="宋体" w:hAnsi="宋体" w:cs="宋体"/>
          <w:spacing w:val="-2"/>
          <w:sz w:val="24"/>
          <w:lang w:bidi="zh-CN"/>
        </w:rPr>
        <w:t>33.13</w:t>
      </w:r>
      <w:r>
        <w:rPr>
          <w:rFonts w:hint="eastAsia" w:ascii="宋体" w:hAnsi="宋体" w:cs="宋体"/>
          <w:spacing w:val="-2"/>
          <w:sz w:val="24"/>
          <w:lang w:val="zh-CN" w:bidi="zh-CN"/>
        </w:rPr>
        <w:t>%，表示“比较满意”的占比</w:t>
      </w:r>
      <w:r>
        <w:rPr>
          <w:rFonts w:hint="eastAsia" w:ascii="宋体" w:hAnsi="宋体" w:cs="宋体"/>
          <w:spacing w:val="-2"/>
          <w:sz w:val="24"/>
          <w:lang w:bidi="zh-CN"/>
        </w:rPr>
        <w:t>29.26</w:t>
      </w:r>
      <w:r>
        <w:rPr>
          <w:rFonts w:hint="eastAsia" w:ascii="宋体" w:hAnsi="宋体" w:cs="宋体"/>
          <w:spacing w:val="-2"/>
          <w:sz w:val="24"/>
          <w:lang w:val="zh-CN" w:bidi="zh-CN"/>
        </w:rPr>
        <w:t>%，表示“一般”的占比</w:t>
      </w:r>
      <w:r>
        <w:rPr>
          <w:rFonts w:hint="eastAsia" w:ascii="宋体" w:hAnsi="宋体" w:cs="宋体"/>
          <w:spacing w:val="-2"/>
          <w:sz w:val="24"/>
          <w:lang w:bidi="zh-CN"/>
        </w:rPr>
        <w:t>21.54</w:t>
      </w:r>
      <w:r>
        <w:rPr>
          <w:rFonts w:hint="eastAsia" w:ascii="宋体" w:hAnsi="宋体" w:cs="宋体"/>
          <w:spacing w:val="-2"/>
          <w:sz w:val="24"/>
          <w:lang w:val="zh-CN" w:bidi="zh-CN"/>
        </w:rPr>
        <w:t>%。</w:t>
      </w:r>
      <w:r>
        <w:rPr>
          <w:rFonts w:hint="eastAsia" w:ascii="宋体" w:hAnsi="宋体" w:cs="宋体"/>
          <w:sz w:val="24"/>
        </w:rPr>
        <w:t>（图2-4所示）</w:t>
      </w:r>
    </w:p>
    <w:p>
      <w:pPr>
        <w:ind w:firstLine="420" w:firstLineChars="200"/>
        <w:jc w:val="center"/>
      </w:pPr>
      <w:r>
        <w:drawing>
          <wp:inline distT="0" distB="0" distL="114300" distR="114300">
            <wp:extent cx="4572000" cy="2729865"/>
            <wp:effectExtent l="4445" t="4445" r="14605" b="8890"/>
            <wp:docPr id="3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ind w:firstLine="400" w:firstLineChars="200"/>
        <w:jc w:val="center"/>
        <w:rPr>
          <w:rFonts w:ascii="微软雅黑" w:hAnsi="微软雅黑" w:eastAsia="微软雅黑" w:cs="微软雅黑"/>
          <w:b/>
          <w:bCs/>
          <w:color w:val="333333"/>
          <w:kern w:val="0"/>
          <w:sz w:val="20"/>
          <w:szCs w:val="20"/>
          <w:shd w:val="clear" w:color="auto" w:fill="FFFFFF"/>
        </w:rPr>
      </w:pPr>
      <w:r>
        <w:rPr>
          <w:rFonts w:hint="eastAsia" w:ascii="微软雅黑" w:hAnsi="微软雅黑" w:eastAsia="微软雅黑" w:cs="微软雅黑"/>
          <w:b/>
          <w:bCs/>
          <w:color w:val="333333"/>
          <w:kern w:val="0"/>
          <w:sz w:val="20"/>
          <w:szCs w:val="20"/>
          <w:shd w:val="clear" w:color="auto" w:fill="FFFFFF"/>
        </w:rPr>
        <w:t>图2-4 毕业生对薪资待遇的满意度</w:t>
      </w:r>
    </w:p>
    <w:p>
      <w:pPr>
        <w:pStyle w:val="2"/>
        <w:numPr>
          <w:ilvl w:val="0"/>
          <w:numId w:val="10"/>
        </w:numPr>
        <w:spacing w:line="600" w:lineRule="auto"/>
        <w:outlineLvl w:val="1"/>
        <w:rPr>
          <w:rFonts w:ascii="黑体" w:hAnsi="黑体" w:eastAsia="黑体" w:cs="黑体"/>
          <w:b/>
          <w:bCs/>
          <w:lang w:val="en-US"/>
        </w:rPr>
      </w:pPr>
      <w:bookmarkStart w:id="783" w:name="_Toc11870"/>
      <w:bookmarkStart w:id="784" w:name="_Toc23255"/>
      <w:bookmarkStart w:id="785" w:name="_Toc22452"/>
      <w:bookmarkStart w:id="786" w:name="_Toc17612"/>
      <w:bookmarkStart w:id="787" w:name="_Toc11392"/>
      <w:bookmarkStart w:id="788" w:name="_Toc27855"/>
      <w:bookmarkStart w:id="789" w:name="_Toc5729"/>
      <w:bookmarkStart w:id="790" w:name="_Toc25449"/>
      <w:bookmarkStart w:id="791" w:name="_Toc32062"/>
      <w:bookmarkStart w:id="792" w:name="_Toc3521"/>
      <w:bookmarkStart w:id="793" w:name="_Toc31600"/>
      <w:bookmarkStart w:id="794" w:name="_Toc23972"/>
      <w:bookmarkStart w:id="795" w:name="_Toc9856"/>
      <w:bookmarkStart w:id="796" w:name="_Toc14726"/>
      <w:bookmarkStart w:id="797" w:name="_Toc12899"/>
      <w:bookmarkStart w:id="798" w:name="_Toc3916"/>
      <w:bookmarkStart w:id="799" w:name="_Toc7645"/>
      <w:bookmarkStart w:id="800" w:name="_Toc5314"/>
      <w:bookmarkStart w:id="801" w:name="_Toc12736"/>
      <w:bookmarkStart w:id="802" w:name="_Toc21647"/>
      <w:bookmarkStart w:id="803" w:name="_Toc11540"/>
      <w:bookmarkStart w:id="804" w:name="_Toc11431"/>
      <w:bookmarkStart w:id="805" w:name="_Toc24627"/>
      <w:bookmarkStart w:id="806" w:name="_Toc3447"/>
      <w:bookmarkStart w:id="807" w:name="_Toc4649"/>
      <w:bookmarkStart w:id="808" w:name="_Toc27210"/>
      <w:bookmarkStart w:id="809" w:name="_Toc6141"/>
      <w:r>
        <w:rPr>
          <w:rFonts w:hint="eastAsia" w:ascii="黑体" w:hAnsi="黑体" w:eastAsia="黑体" w:cs="黑体"/>
          <w:b/>
          <w:bCs/>
          <w:lang w:val="en-US"/>
        </w:rPr>
        <w:t>毕业生的薪资待遇水平</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2"/>
        <w:spacing w:line="360" w:lineRule="auto"/>
        <w:ind w:firstLine="472" w:firstLineChars="200"/>
        <w:jc w:val="left"/>
        <w:rPr>
          <w:rFonts w:ascii="宋体" w:hAnsi="宋体" w:eastAsia="宋体" w:cs="宋体"/>
          <w:spacing w:val="-2"/>
          <w:sz w:val="24"/>
          <w:szCs w:val="24"/>
          <w:lang w:val="en-US"/>
        </w:rPr>
      </w:pPr>
      <w:r>
        <w:rPr>
          <w:rFonts w:hint="eastAsia" w:ascii="宋体" w:hAnsi="宋体" w:eastAsia="宋体" w:cs="宋体"/>
          <w:spacing w:val="-2"/>
          <w:sz w:val="24"/>
          <w:szCs w:val="24"/>
        </w:rPr>
        <w:t>20</w:t>
      </w:r>
      <w:r>
        <w:rPr>
          <w:rFonts w:hint="eastAsia" w:ascii="宋体" w:hAnsi="宋体" w:eastAsia="宋体" w:cs="宋体"/>
          <w:spacing w:val="-2"/>
          <w:sz w:val="24"/>
          <w:szCs w:val="24"/>
          <w:lang w:val="en-US"/>
        </w:rPr>
        <w:t>19</w:t>
      </w:r>
      <w:r>
        <w:rPr>
          <w:rFonts w:hint="eastAsia" w:ascii="宋体" w:hAnsi="宋体" w:eastAsia="宋体" w:cs="宋体"/>
          <w:spacing w:val="-2"/>
          <w:sz w:val="24"/>
          <w:szCs w:val="24"/>
        </w:rPr>
        <w:t>届毕业生中薪资待遇（税前工资）主要集中在</w:t>
      </w:r>
      <w:r>
        <w:rPr>
          <w:rFonts w:hint="eastAsia" w:ascii="宋体" w:hAnsi="宋体" w:eastAsia="宋体" w:cs="宋体"/>
          <w:spacing w:val="-2"/>
          <w:sz w:val="24"/>
          <w:szCs w:val="24"/>
          <w:lang w:val="en-US"/>
        </w:rPr>
        <w:t>4501-5500元月薪区间，占比46.62%；其次为3501-4500元月薪区间，占比32.49%。</w:t>
      </w:r>
    </w:p>
    <w:p>
      <w:pPr>
        <w:pStyle w:val="2"/>
        <w:spacing w:line="360" w:lineRule="auto"/>
        <w:ind w:firstLine="472" w:firstLineChars="200"/>
        <w:jc w:val="left"/>
        <w:rPr>
          <w:rFonts w:ascii="宋体" w:hAnsi="宋体" w:eastAsia="宋体" w:cs="宋体"/>
          <w:spacing w:val="-2"/>
          <w:sz w:val="24"/>
          <w:szCs w:val="24"/>
          <w:lang w:val="en-US"/>
        </w:rPr>
      </w:pPr>
      <w:r>
        <w:rPr>
          <w:rFonts w:hint="eastAsia" w:ascii="宋体" w:hAnsi="宋体" w:eastAsia="宋体" w:cs="宋体"/>
          <w:spacing w:val="-2"/>
          <w:sz w:val="24"/>
          <w:szCs w:val="24"/>
          <w:lang w:val="en-US"/>
        </w:rPr>
        <w:t>5501-7500元月薪区间的占比为9.24%，3500元以下月薪区间的占比为6.94%。</w:t>
      </w:r>
    </w:p>
    <w:p>
      <w:pPr>
        <w:pStyle w:val="2"/>
        <w:spacing w:line="360" w:lineRule="auto"/>
        <w:ind w:firstLine="472" w:firstLineChars="200"/>
        <w:jc w:val="left"/>
        <w:rPr>
          <w:rFonts w:ascii="宋体" w:hAnsi="宋体" w:eastAsia="宋体" w:cs="宋体"/>
          <w:color w:val="FF0000"/>
          <w:spacing w:val="-2"/>
          <w:sz w:val="24"/>
          <w:szCs w:val="24"/>
          <w:lang w:val="en-US"/>
        </w:rPr>
      </w:pPr>
      <w:r>
        <w:rPr>
          <w:rFonts w:hint="eastAsia" w:ascii="宋体" w:hAnsi="宋体" w:eastAsia="宋体" w:cs="宋体"/>
          <w:spacing w:val="-2"/>
          <w:sz w:val="24"/>
          <w:szCs w:val="24"/>
          <w:lang w:val="en-US"/>
        </w:rPr>
        <w:t>7501-10000元月薪区间的占比为4.12%，10000-20000元月薪区间的占比为0.48%</w:t>
      </w:r>
      <w:r>
        <w:rPr>
          <w:rFonts w:hint="eastAsia" w:ascii="宋体" w:hAnsi="宋体" w:eastAsia="宋体" w:cs="宋体"/>
          <w:spacing w:val="-2"/>
          <w:sz w:val="24"/>
          <w:szCs w:val="24"/>
          <w:lang w:val="en-US" w:eastAsia="zh-CN"/>
        </w:rPr>
        <w:t>，</w:t>
      </w:r>
      <w:r>
        <w:rPr>
          <w:rFonts w:hint="eastAsia" w:ascii="宋体" w:hAnsi="宋体" w:eastAsia="宋体" w:cs="宋体"/>
          <w:spacing w:val="-2"/>
          <w:sz w:val="24"/>
          <w:szCs w:val="24"/>
          <w:lang w:val="en-US"/>
        </w:rPr>
        <w:t>2</w:t>
      </w:r>
      <w:r>
        <w:rPr>
          <w:rFonts w:hint="eastAsia" w:ascii="宋体" w:hAnsi="宋体" w:eastAsia="宋体" w:cs="宋体"/>
          <w:spacing w:val="-2"/>
          <w:sz w:val="24"/>
          <w:szCs w:val="24"/>
          <w:lang w:val="en-US" w:eastAsia="zh-CN"/>
        </w:rPr>
        <w:t>0000元</w:t>
      </w:r>
      <w:r>
        <w:rPr>
          <w:rFonts w:hint="eastAsia" w:ascii="宋体" w:hAnsi="宋体" w:eastAsia="宋体" w:cs="宋体"/>
          <w:spacing w:val="-2"/>
          <w:sz w:val="24"/>
          <w:szCs w:val="24"/>
          <w:lang w:val="en-US"/>
        </w:rPr>
        <w:t>以上的占比为0.11%。</w:t>
      </w:r>
    </w:p>
    <w:p>
      <w:pPr>
        <w:pStyle w:val="2"/>
        <w:spacing w:line="360" w:lineRule="auto"/>
        <w:ind w:firstLine="472" w:firstLineChars="200"/>
        <w:jc w:val="left"/>
        <w:rPr>
          <w:rFonts w:ascii="宋体" w:hAnsi="宋体" w:eastAsia="宋体" w:cs="宋体"/>
          <w:spacing w:val="-2"/>
          <w:sz w:val="24"/>
          <w:szCs w:val="24"/>
          <w:lang w:val="en-US"/>
        </w:rPr>
      </w:pPr>
      <w:r>
        <w:rPr>
          <w:rFonts w:hint="eastAsia" w:ascii="宋体" w:hAnsi="宋体" w:eastAsia="宋体" w:cs="宋体"/>
          <w:spacing w:val="-2"/>
          <w:sz w:val="24"/>
          <w:szCs w:val="24"/>
          <w:lang w:val="en-US"/>
        </w:rPr>
        <w:t>2019届毕业生的薪资待遇平均值保持在5137元。（图2-5所示）</w:t>
      </w:r>
    </w:p>
    <w:p>
      <w:pPr>
        <w:pStyle w:val="2"/>
        <w:spacing w:line="360" w:lineRule="auto"/>
        <w:ind w:firstLine="472" w:firstLineChars="200"/>
        <w:jc w:val="left"/>
        <w:rPr>
          <w:rFonts w:ascii="宋体" w:hAnsi="宋体" w:eastAsia="宋体" w:cs="宋体"/>
          <w:spacing w:val="-2"/>
          <w:sz w:val="24"/>
          <w:szCs w:val="24"/>
          <w:lang w:val="en-US"/>
        </w:rPr>
      </w:pPr>
    </w:p>
    <w:p>
      <w:pPr>
        <w:pStyle w:val="2"/>
        <w:spacing w:line="360" w:lineRule="auto"/>
        <w:ind w:firstLine="560" w:firstLineChars="200"/>
        <w:jc w:val="center"/>
      </w:pPr>
      <w:r>
        <w:drawing>
          <wp:inline distT="0" distB="0" distL="114300" distR="114300">
            <wp:extent cx="4572000" cy="2743200"/>
            <wp:effectExtent l="4445" t="4445" r="14605" b="1460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line="480" w:lineRule="auto"/>
        <w:jc w:val="center"/>
        <w:rPr>
          <w:rFonts w:ascii="黑体" w:hAnsi="黑体" w:eastAsia="黑体" w:cs="黑体"/>
          <w:b/>
          <w:bCs/>
          <w:color w:val="FF0000"/>
          <w:kern w:val="0"/>
          <w:szCs w:val="21"/>
          <w:shd w:val="clear" w:color="auto" w:fill="FFFFFF"/>
        </w:rPr>
      </w:pPr>
      <w:r>
        <w:rPr>
          <w:rFonts w:hint="eastAsia" w:ascii="黑体" w:hAnsi="黑体" w:eastAsia="黑体" w:cs="黑体"/>
          <w:b/>
          <w:bCs/>
          <w:kern w:val="0"/>
          <w:szCs w:val="21"/>
          <w:shd w:val="clear" w:color="auto" w:fill="FFFFFF"/>
        </w:rPr>
        <w:t>图2-5 毕业生的薪资待遇水平</w:t>
      </w:r>
    </w:p>
    <w:p>
      <w:pPr>
        <w:pStyle w:val="2"/>
        <w:spacing w:line="360" w:lineRule="auto"/>
        <w:ind w:firstLine="400" w:firstLineChars="200"/>
        <w:jc w:val="left"/>
        <w:rPr>
          <w:rFonts w:ascii="黑体" w:hAnsi="黑体" w:eastAsia="黑体" w:cs="黑体"/>
          <w:b/>
          <w:bCs/>
          <w:color w:val="333333"/>
          <w:kern w:val="0"/>
          <w:sz w:val="20"/>
          <w:szCs w:val="20"/>
          <w:shd w:val="clear" w:color="auto" w:fill="FFFFFF"/>
        </w:rPr>
      </w:pPr>
      <w:r>
        <w:rPr>
          <w:rFonts w:hint="eastAsia" w:ascii="微软雅黑" w:hAnsi="微软雅黑" w:eastAsia="微软雅黑" w:cs="微软雅黑"/>
          <w:b/>
          <w:bCs/>
          <w:color w:val="333333"/>
          <w:kern w:val="0"/>
          <w:sz w:val="20"/>
          <w:szCs w:val="20"/>
          <w:shd w:val="clear" w:color="auto" w:fill="FFFFFF"/>
        </w:rPr>
        <w:t>注：以上薪资待遇为税前工资，不包含奖金等其他福利收入。</w:t>
      </w:r>
    </w:p>
    <w:p>
      <w:pPr>
        <w:numPr>
          <w:ilvl w:val="0"/>
          <w:numId w:val="8"/>
        </w:numPr>
        <w:spacing w:line="600" w:lineRule="auto"/>
        <w:outlineLvl w:val="0"/>
        <w:rPr>
          <w:rFonts w:ascii="黑体" w:hAnsi="黑体" w:eastAsia="黑体" w:cs="黑体"/>
          <w:b/>
          <w:color w:val="000000"/>
          <w:sz w:val="30"/>
          <w:szCs w:val="30"/>
          <w:lang w:val="zh-CN"/>
        </w:rPr>
      </w:pPr>
      <w:bookmarkStart w:id="810" w:name="_Toc4853"/>
      <w:bookmarkStart w:id="811" w:name="_Toc23835"/>
      <w:bookmarkStart w:id="812" w:name="_Toc27701"/>
      <w:bookmarkStart w:id="813" w:name="_Toc8306"/>
      <w:bookmarkStart w:id="814" w:name="_Toc679"/>
      <w:bookmarkStart w:id="815" w:name="_Toc11627"/>
      <w:bookmarkStart w:id="816" w:name="_Toc11357"/>
      <w:bookmarkStart w:id="817" w:name="_Toc32346"/>
      <w:bookmarkStart w:id="818" w:name="_Toc25162"/>
      <w:bookmarkStart w:id="819" w:name="_Toc7195"/>
      <w:bookmarkStart w:id="820" w:name="_Toc3853"/>
      <w:bookmarkStart w:id="821" w:name="_Toc2975"/>
      <w:bookmarkStart w:id="822" w:name="_Toc20473"/>
      <w:bookmarkStart w:id="823" w:name="_Toc30132"/>
      <w:bookmarkStart w:id="824" w:name="_Toc32251"/>
      <w:bookmarkStart w:id="825" w:name="_Toc23335"/>
      <w:bookmarkStart w:id="826" w:name="_Toc28119"/>
      <w:bookmarkStart w:id="827" w:name="_Toc28147"/>
      <w:bookmarkStart w:id="828" w:name="_Toc17498"/>
      <w:bookmarkStart w:id="829" w:name="_Toc2370"/>
      <w:bookmarkStart w:id="830" w:name="_Toc30179"/>
      <w:bookmarkStart w:id="831" w:name="_Toc15854"/>
      <w:bookmarkStart w:id="832" w:name="_Toc28168"/>
      <w:bookmarkStart w:id="833" w:name="_Toc25052"/>
      <w:bookmarkStart w:id="834" w:name="_Toc11490"/>
      <w:bookmarkStart w:id="835" w:name="_Toc17609"/>
      <w:r>
        <w:rPr>
          <w:rFonts w:hint="eastAsia" w:ascii="黑体" w:hAnsi="黑体" w:eastAsia="黑体" w:cs="黑体"/>
          <w:b/>
          <w:color w:val="000000"/>
          <w:sz w:val="30"/>
          <w:szCs w:val="30"/>
          <w:lang w:val="zh-CN"/>
        </w:rPr>
        <w:t>毕业生对工作环境的满意度</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 xml:space="preserve">工作环境，广义上指与工作有关的物理环境和社会环境。狭义上指人的工作地周围的物理环境，如办公室、工厂、车间、工场等。对工作环境可从个体的、人际的和组织的三个层次进行分析。个体水平的分析集中在对工作直接发生作用的环境条件，如办公室或车间的大小、照明、通风、噪声等。 </w:t>
      </w:r>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人际水平的分析主要致力于分析工作空间对交谈的便利程度和工作空间的象征性作用（指工作空间反映使用者在地位、身份上的特征）及工作区域的布局特点等。组织水平的分析包括最大范围的物理环境，集中于分析建筑的内部结构和外部布局，工作单元（如车间）的远近、包围程度等。</w:t>
      </w:r>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毕业生对工作环境的总体满意度（即“非常满意”和“比较满意”、“一般”人数比例之和）为</w:t>
      </w:r>
      <w:r>
        <w:rPr>
          <w:rFonts w:hint="eastAsia" w:ascii="宋体" w:hAnsi="宋体" w:cs="宋体"/>
          <w:spacing w:val="-2"/>
          <w:sz w:val="24"/>
          <w:lang w:bidi="zh-CN"/>
        </w:rPr>
        <w:t>88.02</w:t>
      </w:r>
      <w:r>
        <w:rPr>
          <w:rFonts w:hint="eastAsia" w:ascii="宋体" w:hAnsi="宋体" w:cs="宋体"/>
          <w:spacing w:val="-2"/>
          <w:sz w:val="24"/>
          <w:lang w:val="zh-CN" w:bidi="zh-CN"/>
        </w:rPr>
        <w:t>%。</w:t>
      </w:r>
    </w:p>
    <w:p>
      <w:pPr>
        <w:pStyle w:val="2"/>
        <w:spacing w:line="360" w:lineRule="auto"/>
        <w:ind w:firstLine="560" w:firstLineChars="200"/>
        <w:jc w:val="center"/>
      </w:pPr>
      <w:r>
        <w:rPr>
          <w:lang w:val="en-US" w:bidi="ar-SA"/>
        </w:rPr>
        <w:drawing>
          <wp:inline distT="0" distB="0" distL="114300" distR="114300">
            <wp:extent cx="4572000" cy="2797810"/>
            <wp:effectExtent l="4445" t="4445" r="14605" b="17145"/>
            <wp:docPr id="3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line="480" w:lineRule="auto"/>
        <w:jc w:val="center"/>
        <w:rPr>
          <w:lang w:val="zh-CN"/>
        </w:rPr>
      </w:pPr>
      <w:r>
        <w:rPr>
          <w:rFonts w:hint="eastAsia" w:ascii="黑体" w:hAnsi="黑体" w:eastAsia="黑体" w:cs="黑体"/>
          <w:b/>
          <w:bCs/>
          <w:color w:val="333333"/>
          <w:kern w:val="0"/>
          <w:szCs w:val="21"/>
          <w:shd w:val="clear" w:color="auto" w:fill="FFFFFF"/>
        </w:rPr>
        <w:t>图2-6 毕业生对工作环境的满意度</w:t>
      </w:r>
    </w:p>
    <w:p>
      <w:pPr>
        <w:spacing w:line="360" w:lineRule="auto"/>
        <w:ind w:firstLine="472" w:firstLineChars="200"/>
        <w:jc w:val="left"/>
        <w:rPr>
          <w:rFonts w:ascii="宋体" w:hAnsi="宋体" w:cs="宋体"/>
          <w:spacing w:val="-2"/>
          <w:sz w:val="24"/>
          <w:lang w:val="zh-CN" w:bidi="zh-CN"/>
        </w:rPr>
      </w:pPr>
      <w:bookmarkStart w:id="836" w:name="_Toc28626"/>
      <w:bookmarkStart w:id="837" w:name="_Toc259"/>
      <w:bookmarkStart w:id="838" w:name="_Toc12057"/>
      <w:bookmarkStart w:id="839" w:name="_Toc4008"/>
      <w:bookmarkStart w:id="840" w:name="_Toc25599"/>
      <w:bookmarkStart w:id="841" w:name="_Toc19003"/>
      <w:bookmarkStart w:id="842" w:name="_Toc13793"/>
      <w:bookmarkStart w:id="843" w:name="_Toc2625"/>
      <w:bookmarkStart w:id="844" w:name="_Toc28078"/>
      <w:bookmarkStart w:id="845" w:name="_Toc29210"/>
      <w:bookmarkStart w:id="846" w:name="_Toc28643"/>
      <w:bookmarkStart w:id="847" w:name="_Toc10258"/>
      <w:bookmarkStart w:id="848" w:name="_Toc8242"/>
      <w:bookmarkStart w:id="849" w:name="_Toc31355"/>
      <w:bookmarkStart w:id="850" w:name="_Toc22122"/>
      <w:bookmarkStart w:id="851" w:name="_Toc23107"/>
      <w:bookmarkStart w:id="852" w:name="_Toc2684"/>
      <w:bookmarkStart w:id="853" w:name="_Toc14567"/>
      <w:bookmarkStart w:id="854" w:name="_Toc17065"/>
      <w:bookmarkStart w:id="855" w:name="_Toc15570"/>
      <w:bookmarkStart w:id="856" w:name="_Toc5849"/>
      <w:bookmarkStart w:id="857" w:name="_Toc4971"/>
      <w:bookmarkStart w:id="858" w:name="_Toc12254"/>
      <w:bookmarkStart w:id="859" w:name="_Toc9075"/>
      <w:bookmarkStart w:id="860" w:name="_Toc17387"/>
      <w:r>
        <w:rPr>
          <w:rFonts w:hint="eastAsia" w:ascii="宋体" w:hAnsi="宋体" w:cs="宋体"/>
          <w:spacing w:val="-2"/>
          <w:sz w:val="24"/>
          <w:lang w:val="zh-CN" w:bidi="zh-CN"/>
        </w:rPr>
        <w:t>其中，表示“非常满意”的占比</w:t>
      </w:r>
      <w:r>
        <w:rPr>
          <w:rFonts w:hint="eastAsia" w:ascii="宋体" w:hAnsi="宋体" w:cs="宋体"/>
          <w:spacing w:val="-2"/>
          <w:sz w:val="24"/>
          <w:lang w:bidi="zh-CN"/>
        </w:rPr>
        <w:t>30.58</w:t>
      </w:r>
      <w:r>
        <w:rPr>
          <w:rFonts w:hint="eastAsia" w:ascii="宋体" w:hAnsi="宋体" w:cs="宋体"/>
          <w:spacing w:val="-2"/>
          <w:sz w:val="24"/>
          <w:lang w:val="zh-CN" w:bidi="zh-CN"/>
        </w:rPr>
        <w:t>%，表示“比较满意”的占比</w:t>
      </w:r>
      <w:r>
        <w:rPr>
          <w:rFonts w:hint="eastAsia" w:ascii="宋体" w:hAnsi="宋体" w:cs="宋体"/>
          <w:spacing w:val="-2"/>
          <w:sz w:val="24"/>
          <w:lang w:bidi="zh-CN"/>
        </w:rPr>
        <w:t>26.98</w:t>
      </w:r>
      <w:r>
        <w:rPr>
          <w:rFonts w:hint="eastAsia" w:ascii="宋体" w:hAnsi="宋体" w:cs="宋体"/>
          <w:spacing w:val="-2"/>
          <w:sz w:val="24"/>
          <w:lang w:val="zh-CN" w:bidi="zh-CN"/>
        </w:rPr>
        <w:t>%，表示“一般”的占比</w:t>
      </w:r>
      <w:r>
        <w:rPr>
          <w:rFonts w:hint="eastAsia" w:ascii="宋体" w:hAnsi="宋体" w:cs="宋体"/>
          <w:spacing w:val="-2"/>
          <w:sz w:val="24"/>
          <w:lang w:bidi="zh-CN"/>
        </w:rPr>
        <w:t>30.46</w:t>
      </w:r>
      <w:r>
        <w:rPr>
          <w:rFonts w:hint="eastAsia" w:ascii="宋体" w:hAnsi="宋体" w:cs="宋体"/>
          <w:spacing w:val="-2"/>
          <w:sz w:val="24"/>
          <w:lang w:val="zh-CN" w:bidi="zh-CN"/>
        </w:rPr>
        <w:t>%，表示“比较不满意”的占比</w:t>
      </w:r>
      <w:r>
        <w:rPr>
          <w:rFonts w:hint="eastAsia" w:ascii="宋体" w:hAnsi="宋体" w:cs="宋体"/>
          <w:spacing w:val="-2"/>
          <w:sz w:val="24"/>
          <w:lang w:bidi="zh-CN"/>
        </w:rPr>
        <w:t>10.50%,</w:t>
      </w:r>
      <w:r>
        <w:rPr>
          <w:rFonts w:hint="eastAsia" w:ascii="宋体" w:hAnsi="宋体" w:cs="宋体"/>
          <w:spacing w:val="-2"/>
          <w:sz w:val="24"/>
          <w:lang w:val="zh-CN" w:bidi="zh-CN"/>
        </w:rPr>
        <w:t>表示</w:t>
      </w:r>
      <w:r>
        <w:rPr>
          <w:rFonts w:hint="eastAsia" w:ascii="宋体" w:hAnsi="宋体" w:cs="宋体"/>
          <w:spacing w:val="-2"/>
          <w:sz w:val="24"/>
          <w:lang w:bidi="zh-CN"/>
        </w:rPr>
        <w:t>“非常不满意”的占比1.48%</w:t>
      </w:r>
      <w:r>
        <w:rPr>
          <w:rFonts w:hint="eastAsia" w:ascii="宋体" w:hAnsi="宋体" w:cs="宋体"/>
          <w:spacing w:val="-2"/>
          <w:sz w:val="24"/>
          <w:lang w:val="zh-CN" w:bidi="zh-CN"/>
        </w:rPr>
        <w:t>（图</w:t>
      </w:r>
      <w:r>
        <w:rPr>
          <w:rFonts w:hint="eastAsia" w:ascii="宋体" w:hAnsi="宋体" w:cs="宋体"/>
          <w:spacing w:val="-2"/>
          <w:sz w:val="24"/>
          <w:lang w:bidi="zh-CN"/>
        </w:rPr>
        <w:t>2-6所示</w:t>
      </w:r>
      <w:r>
        <w:rPr>
          <w:rFonts w:hint="eastAsia" w:ascii="宋体" w:hAnsi="宋体" w:cs="宋体"/>
          <w:spacing w:val="-2"/>
          <w:sz w:val="24"/>
          <w:lang w:val="zh-CN" w:bidi="zh-CN"/>
        </w:rPr>
        <w:t>）</w:t>
      </w:r>
    </w:p>
    <w:p>
      <w:pPr>
        <w:numPr>
          <w:ilvl w:val="0"/>
          <w:numId w:val="8"/>
        </w:numPr>
        <w:spacing w:line="600" w:lineRule="auto"/>
        <w:outlineLvl w:val="0"/>
        <w:rPr>
          <w:rFonts w:ascii="黑体" w:hAnsi="黑体" w:eastAsia="黑体" w:cs="黑体"/>
          <w:b/>
          <w:color w:val="000000"/>
          <w:sz w:val="30"/>
          <w:szCs w:val="30"/>
          <w:lang w:val="zh-CN"/>
        </w:rPr>
      </w:pPr>
      <w:bookmarkStart w:id="861" w:name="_Toc10834"/>
      <w:r>
        <w:rPr>
          <w:rFonts w:hint="eastAsia" w:ascii="黑体" w:hAnsi="黑体" w:eastAsia="黑体" w:cs="黑体"/>
          <w:b/>
          <w:color w:val="000000"/>
          <w:sz w:val="30"/>
          <w:szCs w:val="30"/>
          <w:lang w:val="zh-CN"/>
        </w:rPr>
        <w:t>毕业生对从事工作的满意</w:t>
      </w:r>
      <w:bookmarkEnd w:id="836"/>
      <w:bookmarkEnd w:id="837"/>
      <w:bookmarkEnd w:id="838"/>
      <w:bookmarkEnd w:id="839"/>
      <w:bookmarkEnd w:id="840"/>
      <w:bookmarkEnd w:id="841"/>
      <w:bookmarkEnd w:id="842"/>
      <w:bookmarkEnd w:id="843"/>
      <w:bookmarkEnd w:id="844"/>
      <w:bookmarkEnd w:id="845"/>
      <w:bookmarkEnd w:id="846"/>
      <w:bookmarkEnd w:id="847"/>
      <w:r>
        <w:rPr>
          <w:rFonts w:hint="eastAsia" w:ascii="黑体" w:hAnsi="黑体" w:eastAsia="黑体" w:cs="黑体"/>
          <w:b/>
          <w:color w:val="000000"/>
          <w:sz w:val="30"/>
          <w:szCs w:val="30"/>
          <w:lang w:val="zh-CN"/>
        </w:rPr>
        <w:t>情况及分析</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2"/>
        <w:numPr>
          <w:ilvl w:val="0"/>
          <w:numId w:val="11"/>
        </w:numPr>
        <w:spacing w:line="600" w:lineRule="auto"/>
        <w:outlineLvl w:val="1"/>
        <w:rPr>
          <w:rFonts w:ascii="黑体" w:hAnsi="黑体" w:eastAsia="黑体" w:cs="黑体"/>
          <w:b/>
          <w:bCs/>
        </w:rPr>
      </w:pPr>
      <w:bookmarkStart w:id="862" w:name="_Toc21805"/>
      <w:bookmarkStart w:id="863" w:name="_Toc22655"/>
      <w:bookmarkStart w:id="864" w:name="_Toc9415"/>
      <w:bookmarkStart w:id="865" w:name="_Toc11197"/>
      <w:bookmarkStart w:id="866" w:name="_Toc3060"/>
      <w:bookmarkStart w:id="867" w:name="_Toc32224"/>
      <w:bookmarkStart w:id="868" w:name="_Toc23926"/>
      <w:bookmarkStart w:id="869" w:name="_Toc162"/>
      <w:bookmarkStart w:id="870" w:name="_Toc7815"/>
      <w:bookmarkStart w:id="871" w:name="_Toc22433"/>
      <w:bookmarkStart w:id="872" w:name="_Toc31917"/>
      <w:bookmarkStart w:id="873" w:name="_Toc29133"/>
      <w:bookmarkStart w:id="874" w:name="_Toc18841"/>
      <w:bookmarkStart w:id="875" w:name="_Toc28497"/>
      <w:r>
        <w:rPr>
          <w:rFonts w:hint="eastAsia" w:ascii="黑体" w:hAnsi="黑体" w:eastAsia="黑体" w:cs="黑体"/>
          <w:b/>
          <w:bCs/>
        </w:rPr>
        <w:t>毕业生对从事工作的总体满意度情况</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spacing w:line="360" w:lineRule="auto"/>
        <w:ind w:firstLine="480" w:firstLineChars="200"/>
        <w:jc w:val="left"/>
        <w:rPr>
          <w:rFonts w:ascii="宋体" w:hAnsi="宋体" w:cs="宋体"/>
          <w:sz w:val="24"/>
        </w:rPr>
      </w:pPr>
      <w:r>
        <w:rPr>
          <w:rFonts w:hint="eastAsia" w:ascii="宋体" w:hAnsi="宋体" w:cs="宋体"/>
          <w:sz w:val="24"/>
        </w:rPr>
        <w:t>毕业生对从事的工作总体满意度，实际上是指毕业生在组织内进行工作的过程中，对工作本身及其有关方面（包括工作环境、工作状态、工作方式、工作压力、挑战性、工作中的人际关系等等）心理状态的综合反馈。</w:t>
      </w:r>
    </w:p>
    <w:p>
      <w:pPr>
        <w:spacing w:line="360" w:lineRule="auto"/>
        <w:ind w:firstLine="480" w:firstLineChars="200"/>
        <w:jc w:val="left"/>
        <w:rPr>
          <w:rFonts w:ascii="宋体" w:hAnsi="宋体" w:cs="宋体"/>
          <w:sz w:val="24"/>
        </w:rPr>
      </w:pPr>
      <w:r>
        <w:rPr>
          <w:rFonts w:hint="eastAsia" w:ascii="宋体" w:hAnsi="宋体" w:cs="宋体"/>
          <w:sz w:val="24"/>
        </w:rPr>
        <w:t>毕业生对从事的工作总体满意度（即“非常满意”和“比较满意”、“一般”人数比例之和）为89.55%。</w:t>
      </w:r>
      <w:bookmarkStart w:id="876" w:name="_Toc30184"/>
    </w:p>
    <w:bookmarkEnd w:id="876"/>
    <w:p>
      <w:pPr>
        <w:spacing w:line="360" w:lineRule="auto"/>
        <w:ind w:left="420" w:firstLine="480" w:firstLineChars="200"/>
        <w:jc w:val="left"/>
        <w:rPr>
          <w:rFonts w:ascii="宋体" w:hAnsi="宋体" w:cs="宋体"/>
          <w:sz w:val="24"/>
        </w:rPr>
      </w:pPr>
    </w:p>
    <w:p>
      <w:pPr>
        <w:spacing w:line="600" w:lineRule="auto"/>
        <w:ind w:left="420"/>
        <w:jc w:val="center"/>
      </w:pPr>
      <w:bookmarkStart w:id="877" w:name="_Toc20377"/>
      <w:r>
        <w:drawing>
          <wp:inline distT="0" distB="0" distL="114300" distR="114300">
            <wp:extent cx="4572000" cy="2856865"/>
            <wp:effectExtent l="4445" t="4445" r="14605" b="15240"/>
            <wp:docPr id="4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877"/>
    </w:p>
    <w:p>
      <w:pPr>
        <w:spacing w:line="600" w:lineRule="auto"/>
        <w:ind w:left="420"/>
        <w:jc w:val="center"/>
        <w:rPr>
          <w:rFonts w:ascii="微软雅黑" w:hAnsi="微软雅黑" w:eastAsia="微软雅黑" w:cs="微软雅黑"/>
          <w:b/>
          <w:bCs/>
          <w:sz w:val="20"/>
          <w:szCs w:val="22"/>
        </w:rPr>
      </w:pPr>
      <w:bookmarkStart w:id="878" w:name="_Toc25560"/>
      <w:r>
        <w:rPr>
          <w:rFonts w:hint="eastAsia" w:ascii="微软雅黑" w:hAnsi="微软雅黑" w:eastAsia="微软雅黑" w:cs="微软雅黑"/>
          <w:b/>
          <w:bCs/>
          <w:sz w:val="20"/>
          <w:szCs w:val="22"/>
        </w:rPr>
        <w:t>图</w:t>
      </w:r>
      <w:bookmarkEnd w:id="878"/>
      <w:r>
        <w:rPr>
          <w:rFonts w:hint="eastAsia" w:ascii="微软雅黑" w:hAnsi="微软雅黑" w:eastAsia="微软雅黑" w:cs="微软雅黑"/>
          <w:b/>
          <w:bCs/>
          <w:sz w:val="20"/>
          <w:szCs w:val="22"/>
        </w:rPr>
        <w:t>2-7 毕业生对从事工作的总体满意度情况</w:t>
      </w:r>
    </w:p>
    <w:p>
      <w:pPr>
        <w:spacing w:line="360" w:lineRule="auto"/>
        <w:ind w:firstLine="480" w:firstLineChars="200"/>
        <w:jc w:val="left"/>
        <w:rPr>
          <w:rFonts w:ascii="微软雅黑" w:hAnsi="微软雅黑" w:eastAsia="微软雅黑" w:cs="微软雅黑"/>
          <w:b/>
          <w:bCs/>
          <w:sz w:val="20"/>
          <w:szCs w:val="22"/>
        </w:rPr>
      </w:pPr>
      <w:r>
        <w:rPr>
          <w:rFonts w:hint="eastAsia" w:ascii="宋体" w:hAnsi="宋体" w:cs="宋体"/>
          <w:sz w:val="24"/>
        </w:rPr>
        <w:t>其中，表示“非常满意”的占比31.96%，表示“比较满意”的占比27.48%，表示“一般”的占比30.11%，表示“比较不满意”的占比9.64%，表示“非常不满意”的占比0.81%。（图2-7所示）</w:t>
      </w:r>
    </w:p>
    <w:p>
      <w:pPr>
        <w:pStyle w:val="2"/>
        <w:numPr>
          <w:ilvl w:val="0"/>
          <w:numId w:val="11"/>
        </w:numPr>
        <w:spacing w:line="600" w:lineRule="auto"/>
        <w:outlineLvl w:val="1"/>
        <w:rPr>
          <w:rFonts w:ascii="黑体" w:hAnsi="黑体" w:eastAsia="黑体" w:cs="黑体"/>
          <w:b/>
          <w:bCs/>
        </w:rPr>
      </w:pPr>
      <w:bookmarkStart w:id="879" w:name="_Toc19212"/>
      <w:bookmarkStart w:id="880" w:name="_Toc2167"/>
      <w:bookmarkStart w:id="881" w:name="_Toc13250"/>
      <w:bookmarkStart w:id="882" w:name="_Toc27939"/>
      <w:bookmarkStart w:id="883" w:name="_Toc23858"/>
      <w:bookmarkStart w:id="884" w:name="_Toc3794"/>
      <w:bookmarkStart w:id="885" w:name="_Toc4930"/>
      <w:bookmarkStart w:id="886" w:name="_Toc32659"/>
      <w:bookmarkStart w:id="887" w:name="_Toc29183"/>
      <w:bookmarkStart w:id="888" w:name="_Toc9607"/>
      <w:bookmarkStart w:id="889" w:name="_Toc20246"/>
      <w:bookmarkStart w:id="890" w:name="_Toc1095"/>
      <w:bookmarkStart w:id="891" w:name="_Toc29163"/>
      <w:bookmarkStart w:id="892" w:name="_Toc761"/>
      <w:r>
        <w:rPr>
          <w:rFonts w:hint="eastAsia" w:ascii="黑体" w:hAnsi="黑体" w:eastAsia="黑体" w:cs="黑体"/>
          <w:b/>
          <w:bCs/>
        </w:rPr>
        <w:t>毕业生对工作内容的满意度</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spacing w:line="360" w:lineRule="auto"/>
        <w:ind w:firstLine="464"/>
        <w:rPr>
          <w:rFonts w:ascii="宋体" w:hAnsi="宋体" w:cs="宋体"/>
          <w:sz w:val="24"/>
        </w:rPr>
      </w:pPr>
      <w:r>
        <w:rPr>
          <w:rFonts w:hint="eastAsia" w:ascii="宋体" w:hAnsi="宋体" w:cs="宋体"/>
          <w:sz w:val="24"/>
        </w:rPr>
        <w:t>工作内容是指劳动者具体从事什么种类或内容的劳动，是劳动合同确定劳动者应当履行劳动义务的主要内容，包括劳动者从事劳动的工种、岗位、工作范围、工作任务、工作职责、劳动定额、质量标准等。</w:t>
      </w:r>
    </w:p>
    <w:p>
      <w:pPr>
        <w:spacing w:line="360" w:lineRule="auto"/>
        <w:ind w:firstLine="464"/>
        <w:rPr>
          <w:rFonts w:ascii="宋体" w:hAnsi="宋体" w:cs="宋体"/>
          <w:spacing w:val="-2"/>
          <w:sz w:val="24"/>
          <w:lang w:bidi="zh-CN"/>
        </w:rPr>
      </w:pPr>
      <w:r>
        <w:rPr>
          <w:rFonts w:hint="eastAsia" w:ascii="宋体" w:hAnsi="宋体" w:cs="宋体"/>
          <w:sz w:val="24"/>
        </w:rPr>
        <w:t>毕业生对从事的工作内容的满意度（即“非常满意”和“比较满意”、“一般”人数比例之和）为</w:t>
      </w:r>
      <w:r>
        <w:rPr>
          <w:rFonts w:hint="eastAsia" w:ascii="宋体" w:hAnsi="宋体" w:cs="宋体"/>
          <w:spacing w:val="-2"/>
          <w:sz w:val="24"/>
          <w:lang w:bidi="zh-CN"/>
        </w:rPr>
        <w:t>90.05%。</w:t>
      </w:r>
    </w:p>
    <w:p>
      <w:pPr>
        <w:spacing w:line="360" w:lineRule="auto"/>
        <w:ind w:firstLine="464"/>
        <w:rPr>
          <w:rFonts w:ascii="宋体" w:hAnsi="宋体" w:cs="宋体"/>
          <w:spacing w:val="-2"/>
          <w:sz w:val="24"/>
          <w:lang w:bidi="zh-CN"/>
        </w:rPr>
      </w:pPr>
      <w:r>
        <w:rPr>
          <w:rFonts w:hint="eastAsia" w:ascii="宋体" w:hAnsi="宋体" w:cs="宋体"/>
          <w:spacing w:val="-2"/>
          <w:sz w:val="24"/>
          <w:lang w:bidi="zh-CN"/>
        </w:rPr>
        <w:t>其中，表示“非常满意”的占比38.46%，表示“比较满意”的占比30.27%，表示“一般”的占比21.32%。</w:t>
      </w:r>
    </w:p>
    <w:p>
      <w:pPr>
        <w:spacing w:line="360" w:lineRule="auto"/>
        <w:ind w:firstLine="464"/>
        <w:rPr>
          <w:rFonts w:ascii="宋体" w:hAnsi="宋体" w:cs="宋体"/>
          <w:spacing w:val="-2"/>
          <w:sz w:val="24"/>
          <w:lang w:bidi="zh-CN"/>
        </w:rPr>
      </w:pPr>
      <w:r>
        <w:rPr>
          <w:rFonts w:hint="eastAsia" w:ascii="宋体" w:hAnsi="宋体" w:cs="宋体"/>
          <w:spacing w:val="-2"/>
          <w:sz w:val="24"/>
          <w:lang w:bidi="zh-CN"/>
        </w:rPr>
        <w:t>表示“比较不满意”的占比5.09%，表示“非常不满意”的占比4.86%。（图2-8所示）</w:t>
      </w:r>
    </w:p>
    <w:p>
      <w:pPr>
        <w:spacing w:line="360" w:lineRule="auto"/>
        <w:ind w:firstLine="420" w:firstLineChars="200"/>
        <w:jc w:val="center"/>
        <w:rPr>
          <w:rFonts w:ascii="宋体" w:hAnsi="宋体" w:cs="宋体"/>
          <w:spacing w:val="-2"/>
          <w:sz w:val="24"/>
          <w:lang w:val="zh-CN" w:bidi="zh-CN"/>
        </w:rPr>
      </w:pPr>
      <w:r>
        <w:drawing>
          <wp:inline distT="0" distB="0" distL="114300" distR="114300">
            <wp:extent cx="4572000" cy="3153410"/>
            <wp:effectExtent l="4445" t="4445" r="14605" b="23495"/>
            <wp:docPr id="3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spacing w:line="360" w:lineRule="auto"/>
        <w:ind w:firstLine="464"/>
        <w:jc w:val="center"/>
        <w:rPr>
          <w:rFonts w:ascii="微软雅黑" w:hAnsi="微软雅黑" w:eastAsia="微软雅黑" w:cs="微软雅黑"/>
          <w:b/>
          <w:bCs/>
          <w:color w:val="333333"/>
          <w:kern w:val="0"/>
          <w:sz w:val="20"/>
          <w:szCs w:val="15"/>
          <w:shd w:val="clear" w:color="auto" w:fill="FFFFFF"/>
        </w:rPr>
      </w:pPr>
      <w:r>
        <w:rPr>
          <w:rFonts w:hint="eastAsia" w:ascii="微软雅黑" w:hAnsi="微软雅黑" w:eastAsia="微软雅黑" w:cs="微软雅黑"/>
          <w:b/>
          <w:bCs/>
          <w:color w:val="333333"/>
          <w:kern w:val="0"/>
          <w:sz w:val="20"/>
          <w:szCs w:val="15"/>
          <w:shd w:val="clear" w:color="auto" w:fill="FFFFFF"/>
        </w:rPr>
        <w:t>图2-8  毕业生对工作内容的满意度</w:t>
      </w:r>
    </w:p>
    <w:p>
      <w:pPr>
        <w:numPr>
          <w:ilvl w:val="0"/>
          <w:numId w:val="8"/>
        </w:numPr>
        <w:spacing w:line="600" w:lineRule="auto"/>
        <w:outlineLvl w:val="0"/>
        <w:rPr>
          <w:rFonts w:ascii="黑体" w:hAnsi="黑体" w:eastAsia="黑体" w:cs="黑体"/>
          <w:b/>
          <w:color w:val="000000"/>
          <w:sz w:val="30"/>
          <w:szCs w:val="30"/>
          <w:lang w:val="zh-CN"/>
        </w:rPr>
      </w:pPr>
      <w:bookmarkStart w:id="893" w:name="_Toc25150"/>
      <w:bookmarkStart w:id="894" w:name="_Toc23842"/>
      <w:bookmarkStart w:id="895" w:name="_Toc4940"/>
      <w:bookmarkStart w:id="896" w:name="_Toc10999"/>
      <w:bookmarkStart w:id="897" w:name="_Toc27379"/>
      <w:bookmarkStart w:id="898" w:name="_Toc12685"/>
      <w:bookmarkStart w:id="899" w:name="_Toc22692"/>
      <w:bookmarkStart w:id="900" w:name="_Toc9116"/>
      <w:bookmarkStart w:id="901" w:name="_Toc8057"/>
      <w:bookmarkStart w:id="902" w:name="_Toc7816"/>
      <w:bookmarkStart w:id="903" w:name="_Toc18749"/>
      <w:bookmarkStart w:id="904" w:name="_Toc23628"/>
      <w:bookmarkStart w:id="905" w:name="_Toc13433"/>
      <w:bookmarkStart w:id="906" w:name="_Toc12702"/>
      <w:bookmarkStart w:id="907" w:name="_Toc28248"/>
      <w:bookmarkStart w:id="908" w:name="_Toc26710"/>
      <w:bookmarkStart w:id="909" w:name="_Toc28614"/>
      <w:bookmarkStart w:id="910" w:name="_Toc14343"/>
      <w:bookmarkStart w:id="911" w:name="_Toc10417"/>
      <w:bookmarkStart w:id="912" w:name="_Toc7739"/>
      <w:bookmarkStart w:id="913" w:name="_Toc15041"/>
      <w:bookmarkStart w:id="914" w:name="_Toc6672"/>
      <w:bookmarkStart w:id="915" w:name="_Toc14279"/>
      <w:bookmarkStart w:id="916" w:name="_Toc10293"/>
      <w:bookmarkStart w:id="917" w:name="_Toc15414"/>
      <w:bookmarkStart w:id="918" w:name="_Toc26353"/>
      <w:bookmarkStart w:id="919" w:name="_Toc16624"/>
      <w:r>
        <w:rPr>
          <w:rFonts w:hint="eastAsia" w:ascii="黑体" w:hAnsi="黑体" w:eastAsia="黑体" w:cs="黑体"/>
          <w:b/>
          <w:color w:val="000000"/>
          <w:sz w:val="30"/>
          <w:szCs w:val="30"/>
          <w:lang w:val="zh-CN"/>
        </w:rPr>
        <w:t>毕业生对职业发展前景的满意度</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spacing w:line="360" w:lineRule="auto"/>
        <w:ind w:firstLine="472" w:firstLineChars="200"/>
        <w:jc w:val="left"/>
        <w:rPr>
          <w:rFonts w:ascii="宋体" w:hAnsi="宋体" w:cs="宋体"/>
          <w:spacing w:val="-2"/>
          <w:sz w:val="24"/>
          <w:lang w:val="zh-CN" w:bidi="zh-CN"/>
        </w:rPr>
      </w:pPr>
      <w:r>
        <w:rPr>
          <w:rFonts w:hint="eastAsia" w:ascii="宋体" w:hAnsi="宋体" w:cs="宋体"/>
          <w:spacing w:val="-2"/>
          <w:sz w:val="24"/>
          <w:lang w:val="zh-CN" w:bidi="zh-CN"/>
        </w:rPr>
        <w:t>“职业发展前景”是毕业生对自己未来事业发展的预期。“职业发展前景”的满意度，反映的是毕业生以其事业发展目标为标杆对就职单位和从事工作的现实环境、可供资源和工作价值所做的自我判断。</w:t>
      </w:r>
    </w:p>
    <w:p>
      <w:pPr>
        <w:spacing w:line="360" w:lineRule="auto"/>
        <w:ind w:firstLine="472" w:firstLineChars="200"/>
        <w:jc w:val="left"/>
        <w:rPr>
          <w:rFonts w:ascii="宋体" w:hAnsi="宋体" w:cs="宋体"/>
          <w:spacing w:val="-2"/>
          <w:sz w:val="24"/>
          <w:lang w:val="zh-CN" w:bidi="zh-CN"/>
        </w:rPr>
      </w:pPr>
    </w:p>
    <w:p>
      <w:pPr>
        <w:pStyle w:val="2"/>
        <w:spacing w:line="360" w:lineRule="auto"/>
        <w:ind w:firstLine="560" w:firstLineChars="200"/>
        <w:jc w:val="center"/>
      </w:pPr>
      <w:r>
        <w:rPr>
          <w:lang w:val="en-US" w:bidi="ar-SA"/>
        </w:rPr>
        <w:drawing>
          <wp:inline distT="0" distB="0" distL="114300" distR="114300">
            <wp:extent cx="4572000" cy="3012440"/>
            <wp:effectExtent l="4445" t="4445" r="14605" b="12065"/>
            <wp:docPr id="3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2"/>
        <w:spacing w:line="360" w:lineRule="auto"/>
        <w:ind w:firstLine="400" w:firstLineChars="200"/>
        <w:jc w:val="center"/>
        <w:rPr>
          <w:rFonts w:ascii="微软雅黑" w:hAnsi="微软雅黑" w:eastAsia="微软雅黑" w:cs="微软雅黑"/>
          <w:b/>
          <w:bCs/>
          <w:color w:val="333333"/>
          <w:kern w:val="0"/>
          <w:sz w:val="20"/>
          <w:szCs w:val="15"/>
          <w:shd w:val="clear" w:color="auto" w:fill="FFFFFF"/>
        </w:rPr>
      </w:pPr>
      <w:r>
        <w:rPr>
          <w:rFonts w:hint="eastAsia" w:ascii="微软雅黑" w:hAnsi="微软雅黑" w:eastAsia="微软雅黑" w:cs="微软雅黑"/>
          <w:b/>
          <w:bCs/>
          <w:color w:val="333333"/>
          <w:kern w:val="0"/>
          <w:sz w:val="20"/>
          <w:szCs w:val="15"/>
          <w:shd w:val="clear" w:color="auto" w:fill="FFFFFF"/>
        </w:rPr>
        <w:t>图2-</w:t>
      </w:r>
      <w:r>
        <w:rPr>
          <w:rFonts w:hint="eastAsia" w:ascii="微软雅黑" w:hAnsi="微软雅黑" w:eastAsia="微软雅黑" w:cs="微软雅黑"/>
          <w:b/>
          <w:bCs/>
          <w:color w:val="333333"/>
          <w:kern w:val="0"/>
          <w:sz w:val="20"/>
          <w:szCs w:val="15"/>
          <w:shd w:val="clear" w:color="auto" w:fill="FFFFFF"/>
          <w:lang w:val="en-US"/>
        </w:rPr>
        <w:t>9</w:t>
      </w:r>
      <w:r>
        <w:rPr>
          <w:rFonts w:hint="eastAsia" w:ascii="微软雅黑" w:hAnsi="微软雅黑" w:eastAsia="微软雅黑" w:cs="微软雅黑"/>
          <w:b/>
          <w:bCs/>
          <w:color w:val="333333"/>
          <w:kern w:val="0"/>
          <w:sz w:val="20"/>
          <w:szCs w:val="15"/>
          <w:shd w:val="clear" w:color="auto" w:fill="FFFFFF"/>
        </w:rPr>
        <w:t xml:space="preserve"> 毕业生对职业发展前景的满意度</w:t>
      </w:r>
    </w:p>
    <w:p>
      <w:pPr>
        <w:pStyle w:val="2"/>
        <w:spacing w:line="360" w:lineRule="auto"/>
        <w:ind w:firstLine="472" w:firstLineChars="200"/>
        <w:jc w:val="left"/>
        <w:rPr>
          <w:rFonts w:ascii="宋体" w:hAnsi="宋体" w:eastAsia="宋体" w:cs="宋体"/>
          <w:spacing w:val="-2"/>
          <w:sz w:val="24"/>
          <w:szCs w:val="24"/>
        </w:rPr>
      </w:pPr>
      <w:r>
        <w:rPr>
          <w:rFonts w:hint="eastAsia" w:ascii="宋体" w:hAnsi="宋体" w:eastAsia="宋体" w:cs="宋体"/>
          <w:spacing w:val="-2"/>
          <w:sz w:val="24"/>
          <w:szCs w:val="24"/>
        </w:rPr>
        <w:t>毕业生对从事的工作职业发展前景的满意度（即“非常满意”和“比较满意”、“一般”人数比例之和）为88.16%。</w:t>
      </w:r>
    </w:p>
    <w:p>
      <w:pPr>
        <w:pStyle w:val="2"/>
        <w:spacing w:line="360" w:lineRule="auto"/>
        <w:ind w:firstLine="472" w:firstLineChars="200"/>
        <w:jc w:val="left"/>
        <w:rPr>
          <w:rFonts w:ascii="宋体" w:hAnsi="宋体" w:eastAsia="宋体" w:cs="宋体"/>
          <w:spacing w:val="-2"/>
          <w:sz w:val="24"/>
          <w:szCs w:val="24"/>
        </w:rPr>
      </w:pPr>
      <w:r>
        <w:rPr>
          <w:rFonts w:hint="eastAsia" w:ascii="宋体" w:hAnsi="宋体" w:eastAsia="宋体" w:cs="宋体"/>
          <w:spacing w:val="-2"/>
          <w:sz w:val="24"/>
          <w:szCs w:val="24"/>
        </w:rPr>
        <w:t>其中，“非常满意”评价的占比30.92%，“比较满意”评价的占比30.18%，“一般”评价的占比27.06%。</w:t>
      </w:r>
    </w:p>
    <w:p>
      <w:pPr>
        <w:pStyle w:val="2"/>
        <w:spacing w:line="360" w:lineRule="auto"/>
        <w:ind w:firstLine="472" w:firstLineChars="200"/>
        <w:jc w:val="left"/>
        <w:rPr>
          <w:rFonts w:ascii="微软雅黑" w:hAnsi="微软雅黑" w:eastAsia="微软雅黑" w:cs="微软雅黑"/>
          <w:b/>
          <w:bCs/>
          <w:color w:val="333333"/>
          <w:kern w:val="0"/>
          <w:sz w:val="20"/>
          <w:szCs w:val="15"/>
          <w:shd w:val="clear" w:color="auto" w:fill="FFFFFF"/>
        </w:rPr>
      </w:pPr>
      <w:r>
        <w:rPr>
          <w:rFonts w:hint="eastAsia" w:ascii="宋体" w:hAnsi="宋体" w:eastAsia="宋体" w:cs="宋体"/>
          <w:spacing w:val="-2"/>
          <w:sz w:val="24"/>
          <w:szCs w:val="24"/>
        </w:rPr>
        <w:t>表示“比较不满意”评价的占比9.43%，“非常不满意”评价的占比2.41%。（图2-9所示）</w:t>
      </w:r>
    </w:p>
    <w:p>
      <w:pPr>
        <w:numPr>
          <w:ilvl w:val="0"/>
          <w:numId w:val="8"/>
        </w:numPr>
        <w:spacing w:line="600" w:lineRule="auto"/>
        <w:outlineLvl w:val="0"/>
        <w:rPr>
          <w:rFonts w:ascii="黑体" w:hAnsi="黑体" w:eastAsia="黑体" w:cs="黑体"/>
          <w:b/>
          <w:color w:val="000000"/>
          <w:sz w:val="30"/>
          <w:szCs w:val="30"/>
          <w:lang w:val="zh-CN"/>
        </w:rPr>
      </w:pPr>
      <w:bookmarkStart w:id="920" w:name="_Toc2369"/>
      <w:bookmarkStart w:id="921" w:name="_Toc10704"/>
      <w:bookmarkStart w:id="922" w:name="_Toc20485"/>
      <w:bookmarkStart w:id="923" w:name="_Toc17553"/>
      <w:bookmarkStart w:id="924" w:name="_Toc8283"/>
      <w:bookmarkStart w:id="925" w:name="_Toc21917"/>
      <w:bookmarkStart w:id="926" w:name="_Toc32476"/>
      <w:bookmarkStart w:id="927" w:name="_Toc22713"/>
      <w:bookmarkStart w:id="928" w:name="_Toc6252"/>
      <w:bookmarkStart w:id="929" w:name="_Toc23745"/>
      <w:bookmarkStart w:id="930" w:name="_Toc15328"/>
      <w:bookmarkStart w:id="931" w:name="_Toc26504"/>
      <w:bookmarkStart w:id="932" w:name="_Toc437592949"/>
      <w:bookmarkStart w:id="933" w:name="_Toc7831"/>
      <w:bookmarkStart w:id="934" w:name="_Toc16975"/>
      <w:bookmarkStart w:id="935" w:name="_Toc436149525"/>
      <w:bookmarkStart w:id="936" w:name="_Toc24153"/>
      <w:bookmarkStart w:id="937" w:name="_Toc10495"/>
      <w:bookmarkStart w:id="938" w:name="_Toc30856"/>
      <w:bookmarkStart w:id="939" w:name="_Toc17781"/>
      <w:bookmarkStart w:id="940" w:name="_Toc657"/>
      <w:bookmarkStart w:id="941" w:name="_Toc24067"/>
      <w:bookmarkStart w:id="942" w:name="_Toc19027"/>
      <w:bookmarkStart w:id="943" w:name="_Toc21871"/>
      <w:bookmarkStart w:id="944" w:name="_Toc27048"/>
      <w:bookmarkStart w:id="945" w:name="_Toc25222"/>
      <w:bookmarkStart w:id="946" w:name="_Toc30136"/>
      <w:bookmarkStart w:id="947" w:name="_Toc25832"/>
      <w:bookmarkStart w:id="948" w:name="_Toc1357"/>
      <w:bookmarkStart w:id="949" w:name="_Toc23177"/>
      <w:r>
        <w:rPr>
          <w:rFonts w:hint="eastAsia" w:ascii="黑体" w:hAnsi="黑体" w:eastAsia="黑体" w:cs="黑体"/>
          <w:b/>
          <w:color w:val="000000"/>
          <w:sz w:val="30"/>
          <w:szCs w:val="30"/>
          <w:lang w:val="zh-CN"/>
        </w:rPr>
        <w:t>毕业生对学校就业服务工作的满意度情况及分析</w:t>
      </w:r>
      <w:bookmarkEnd w:id="920"/>
      <w:bookmarkEnd w:id="921"/>
      <w:bookmarkEnd w:id="922"/>
      <w:bookmarkEnd w:id="923"/>
      <w:bookmarkEnd w:id="924"/>
      <w:bookmarkEnd w:id="925"/>
      <w:bookmarkEnd w:id="926"/>
      <w:bookmarkEnd w:id="927"/>
      <w:bookmarkEnd w:id="928"/>
      <w:bookmarkEnd w:id="929"/>
      <w:bookmarkEnd w:id="930"/>
      <w:bookmarkEnd w:id="931"/>
    </w:p>
    <w:p>
      <w:pPr>
        <w:pStyle w:val="2"/>
        <w:numPr>
          <w:ilvl w:val="0"/>
          <w:numId w:val="12"/>
        </w:numPr>
        <w:spacing w:line="600" w:lineRule="auto"/>
        <w:outlineLvl w:val="1"/>
        <w:rPr>
          <w:rFonts w:ascii="黑体" w:hAnsi="黑体" w:eastAsia="黑体" w:cs="黑体"/>
          <w:b/>
          <w:bCs/>
          <w:lang w:val="en-US"/>
        </w:rPr>
      </w:pPr>
      <w:bookmarkStart w:id="950" w:name="_Toc27854"/>
      <w:bookmarkStart w:id="951" w:name="_Toc26600"/>
      <w:bookmarkStart w:id="952" w:name="_Toc8449"/>
      <w:bookmarkStart w:id="953" w:name="_Toc24765"/>
      <w:bookmarkStart w:id="954" w:name="_Toc30954"/>
      <w:bookmarkStart w:id="955" w:name="_Toc4559"/>
      <w:bookmarkStart w:id="956" w:name="_Toc10054"/>
      <w:bookmarkStart w:id="957" w:name="_Toc5798"/>
      <w:bookmarkStart w:id="958" w:name="_Toc31832"/>
      <w:bookmarkStart w:id="959" w:name="_Toc831"/>
      <w:bookmarkStart w:id="960" w:name="_Toc4188"/>
      <w:bookmarkStart w:id="961" w:name="_Toc31016"/>
      <w:bookmarkStart w:id="962" w:name="_Toc12716"/>
      <w:bookmarkStart w:id="963" w:name="_Toc13406"/>
      <w:bookmarkStart w:id="964" w:name="_Toc29765"/>
      <w:bookmarkStart w:id="965" w:name="_Toc21596"/>
      <w:bookmarkStart w:id="966" w:name="_Toc6343"/>
      <w:bookmarkStart w:id="967" w:name="_Toc13722"/>
      <w:bookmarkStart w:id="968" w:name="_Toc21702"/>
      <w:bookmarkStart w:id="969" w:name="_Toc11894"/>
      <w:bookmarkStart w:id="970" w:name="_Toc1780"/>
      <w:bookmarkStart w:id="971" w:name="_Toc2088"/>
      <w:bookmarkStart w:id="972" w:name="_Toc31950"/>
      <w:bookmarkStart w:id="973" w:name="_Toc19286"/>
      <w:bookmarkStart w:id="974" w:name="_Toc11903"/>
      <w:bookmarkStart w:id="975" w:name="_Toc8126"/>
      <w:bookmarkStart w:id="976" w:name="_Toc12457"/>
      <w:bookmarkStart w:id="977" w:name="_Toc29917"/>
      <w:bookmarkStart w:id="978" w:name="_Toc16595"/>
      <w:bookmarkStart w:id="979" w:name="_Toc13604"/>
      <w:bookmarkStart w:id="980" w:name="_Toc12479"/>
      <w:bookmarkStart w:id="981" w:name="_Toc23145"/>
      <w:bookmarkStart w:id="982" w:name="_Toc7598"/>
      <w:r>
        <w:rPr>
          <w:rFonts w:hint="eastAsia" w:ascii="黑体" w:hAnsi="黑体" w:eastAsia="黑体" w:cs="黑体"/>
          <w:b/>
          <w:bCs/>
          <w:lang w:val="en-US"/>
        </w:rPr>
        <w:t>毕业生对学校就业服务工作的总体满意度情况</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spacing w:line="360" w:lineRule="auto"/>
        <w:ind w:firstLine="480" w:firstLineChars="200"/>
        <w:jc w:val="left"/>
        <w:rPr>
          <w:rFonts w:ascii="宋体" w:hAnsi="宋体" w:cs="宋体"/>
          <w:sz w:val="24"/>
        </w:rPr>
      </w:pPr>
      <w:r>
        <w:rPr>
          <w:rFonts w:hint="eastAsia" w:ascii="宋体" w:hAnsi="宋体" w:cs="宋体"/>
          <w:sz w:val="24"/>
        </w:rPr>
        <w:t>毕业生对学校就业服务工作的总体满意度（即“非常满意”和“比较满意”、“一般”人数比例之和）为91.69%。</w:t>
      </w:r>
    </w:p>
    <w:p>
      <w:pPr>
        <w:spacing w:line="360" w:lineRule="auto"/>
        <w:ind w:firstLine="480" w:firstLineChars="200"/>
        <w:jc w:val="left"/>
        <w:rPr>
          <w:rFonts w:ascii="宋体" w:hAnsi="宋体" w:cs="宋体"/>
          <w:sz w:val="24"/>
        </w:rPr>
      </w:pPr>
      <w:bookmarkStart w:id="983" w:name="_Toc1493"/>
      <w:r>
        <w:rPr>
          <w:rFonts w:hint="eastAsia" w:ascii="宋体" w:hAnsi="宋体" w:cs="宋体"/>
          <w:sz w:val="24"/>
        </w:rPr>
        <w:t>其中“非常满意”占比40.13%，“比较满意”占比29.46%。</w:t>
      </w:r>
    </w:p>
    <w:p>
      <w:pPr>
        <w:spacing w:line="360" w:lineRule="auto"/>
        <w:ind w:firstLine="480" w:firstLineChars="200"/>
        <w:jc w:val="left"/>
        <w:rPr>
          <w:rFonts w:ascii="宋体" w:hAnsi="宋体" w:cs="宋体"/>
          <w:sz w:val="24"/>
        </w:rPr>
      </w:pPr>
      <w:r>
        <w:rPr>
          <w:rFonts w:hint="eastAsia" w:ascii="宋体" w:hAnsi="宋体" w:cs="宋体"/>
          <w:sz w:val="24"/>
        </w:rPr>
        <w:t>“一般”占比22.10%，“比较不满意”占比3.46%，“非常不满意”占比4.85%。（图2-10所示）</w:t>
      </w:r>
      <w:bookmarkEnd w:id="983"/>
    </w:p>
    <w:p>
      <w:pPr>
        <w:spacing w:line="600" w:lineRule="auto"/>
        <w:jc w:val="center"/>
        <w:rPr>
          <w:rFonts w:ascii="宋体" w:hAnsi="宋体" w:cs="宋体"/>
          <w:sz w:val="24"/>
        </w:rPr>
      </w:pPr>
      <w:bookmarkStart w:id="984" w:name="_Toc22376"/>
      <w:r>
        <w:drawing>
          <wp:inline distT="0" distB="0" distL="114300" distR="114300">
            <wp:extent cx="4572000" cy="3002915"/>
            <wp:effectExtent l="4445" t="4445" r="14605" b="21590"/>
            <wp:docPr id="4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End w:id="984"/>
    </w:p>
    <w:p>
      <w:pPr>
        <w:spacing w:line="600" w:lineRule="auto"/>
        <w:jc w:val="center"/>
        <w:rPr>
          <w:rFonts w:ascii="微软雅黑" w:hAnsi="微软雅黑" w:eastAsia="微软雅黑" w:cs="微软雅黑"/>
          <w:b/>
          <w:bCs/>
          <w:sz w:val="20"/>
          <w:szCs w:val="20"/>
        </w:rPr>
      </w:pPr>
      <w:bookmarkStart w:id="985" w:name="_Toc1376"/>
      <w:r>
        <w:rPr>
          <w:rFonts w:hint="eastAsia" w:ascii="微软雅黑" w:hAnsi="微软雅黑" w:eastAsia="微软雅黑" w:cs="微软雅黑"/>
          <w:b/>
          <w:bCs/>
          <w:sz w:val="20"/>
          <w:szCs w:val="20"/>
        </w:rPr>
        <w:t xml:space="preserve">图2-10 </w:t>
      </w:r>
      <w:bookmarkEnd w:id="985"/>
      <w:r>
        <w:rPr>
          <w:rFonts w:hint="eastAsia" w:ascii="微软雅黑" w:hAnsi="微软雅黑" w:eastAsia="微软雅黑" w:cs="微软雅黑"/>
          <w:b/>
          <w:bCs/>
          <w:sz w:val="20"/>
          <w:szCs w:val="20"/>
        </w:rPr>
        <w:t>毕业生对学校就业服务工作的总体满意度情况</w:t>
      </w:r>
    </w:p>
    <w:p>
      <w:pPr>
        <w:pStyle w:val="2"/>
        <w:numPr>
          <w:ilvl w:val="0"/>
          <w:numId w:val="12"/>
        </w:numPr>
        <w:spacing w:line="600" w:lineRule="auto"/>
        <w:outlineLvl w:val="1"/>
        <w:rPr>
          <w:rFonts w:ascii="黑体" w:hAnsi="黑体" w:eastAsia="黑体" w:cs="黑体"/>
          <w:b/>
          <w:bCs/>
          <w:lang w:val="en-US"/>
        </w:rPr>
      </w:pPr>
      <w:bookmarkStart w:id="986" w:name="_Toc10494"/>
      <w:bookmarkStart w:id="987" w:name="_Toc23306"/>
      <w:bookmarkStart w:id="988" w:name="_Toc8330"/>
      <w:bookmarkStart w:id="989" w:name="_Toc16109"/>
      <w:bookmarkStart w:id="990" w:name="_Toc18001"/>
      <w:bookmarkStart w:id="991" w:name="_Toc2240"/>
      <w:bookmarkStart w:id="992" w:name="_Toc5286"/>
      <w:bookmarkStart w:id="993" w:name="_Toc30602"/>
      <w:bookmarkStart w:id="994" w:name="_Toc6507"/>
      <w:bookmarkStart w:id="995" w:name="_Toc10610"/>
      <w:bookmarkStart w:id="996" w:name="_Toc16704"/>
      <w:bookmarkStart w:id="997" w:name="_Toc26726"/>
      <w:bookmarkStart w:id="998" w:name="_Toc1592"/>
      <w:bookmarkStart w:id="999" w:name="_Toc6440"/>
      <w:bookmarkStart w:id="1000" w:name="_Toc23704"/>
      <w:bookmarkStart w:id="1001" w:name="_Toc29997"/>
      <w:bookmarkStart w:id="1002" w:name="_Toc19351"/>
      <w:bookmarkStart w:id="1003" w:name="_Toc4838"/>
      <w:bookmarkStart w:id="1004" w:name="_Toc18278"/>
      <w:bookmarkStart w:id="1005" w:name="_Toc10668"/>
      <w:bookmarkStart w:id="1006" w:name="_Toc17320"/>
      <w:bookmarkStart w:id="1007" w:name="_Toc5925"/>
      <w:bookmarkStart w:id="1008" w:name="_Toc15547"/>
      <w:bookmarkStart w:id="1009" w:name="_Toc28994"/>
      <w:bookmarkStart w:id="1010" w:name="_Toc5406"/>
      <w:bookmarkStart w:id="1011" w:name="_Toc24722"/>
      <w:bookmarkStart w:id="1012" w:name="_Toc26487"/>
      <w:bookmarkStart w:id="1013" w:name="_Toc12791"/>
      <w:r>
        <w:rPr>
          <w:rFonts w:hint="eastAsia" w:ascii="黑体" w:hAnsi="黑体" w:eastAsia="黑体" w:cs="黑体"/>
          <w:b/>
          <w:bCs/>
          <w:lang w:val="en-US"/>
        </w:rPr>
        <w:t>毕业生对学校就业手续办理的满意度情况</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spacing w:line="360" w:lineRule="auto"/>
        <w:ind w:firstLine="480" w:firstLineChars="200"/>
        <w:jc w:val="left"/>
        <w:rPr>
          <w:rFonts w:ascii="宋体" w:hAnsi="宋体" w:cs="宋体"/>
          <w:sz w:val="24"/>
        </w:rPr>
      </w:pPr>
      <w:r>
        <w:rPr>
          <w:rFonts w:hint="eastAsia" w:ascii="宋体" w:hAnsi="宋体" w:cs="宋体"/>
          <w:sz w:val="24"/>
        </w:rPr>
        <w:t>毕业生对学校就业手续办理的满意度（即“很满意”和“比较满意”、“一般”人数比例之和）为91.34%。</w:t>
      </w:r>
    </w:p>
    <w:p>
      <w:pPr>
        <w:spacing w:line="600" w:lineRule="auto"/>
        <w:jc w:val="center"/>
        <w:rPr>
          <w:rFonts w:ascii="宋体" w:hAnsi="宋体" w:cs="宋体"/>
          <w:sz w:val="24"/>
        </w:rPr>
      </w:pPr>
      <w:bookmarkStart w:id="1014" w:name="_Toc30746"/>
      <w:bookmarkStart w:id="1015" w:name="_Toc13308"/>
      <w:r>
        <w:drawing>
          <wp:inline distT="0" distB="0" distL="114300" distR="114300">
            <wp:extent cx="4572000" cy="2792730"/>
            <wp:effectExtent l="4445" t="4445" r="14605" b="22225"/>
            <wp:docPr id="4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1014"/>
      <w:bookmarkEnd w:id="1015"/>
    </w:p>
    <w:p>
      <w:pPr>
        <w:spacing w:line="600" w:lineRule="auto"/>
        <w:jc w:val="center"/>
        <w:rPr>
          <w:rFonts w:ascii="微软雅黑" w:hAnsi="微软雅黑" w:eastAsia="微软雅黑" w:cs="微软雅黑"/>
          <w:b/>
          <w:bCs/>
          <w:sz w:val="20"/>
          <w:szCs w:val="20"/>
        </w:rPr>
      </w:pPr>
      <w:bookmarkStart w:id="1016" w:name="_Toc27864"/>
      <w:bookmarkStart w:id="1017" w:name="_Toc9915"/>
      <w:bookmarkStart w:id="1018" w:name="_Toc30607"/>
      <w:bookmarkStart w:id="1019" w:name="_Toc22174"/>
      <w:r>
        <w:rPr>
          <w:rFonts w:hint="eastAsia" w:ascii="微软雅黑" w:hAnsi="微软雅黑" w:eastAsia="微软雅黑" w:cs="微软雅黑"/>
          <w:b/>
          <w:bCs/>
          <w:sz w:val="20"/>
          <w:szCs w:val="20"/>
        </w:rPr>
        <w:t xml:space="preserve">图2-11 </w:t>
      </w:r>
      <w:bookmarkEnd w:id="1016"/>
      <w:bookmarkEnd w:id="1017"/>
      <w:bookmarkEnd w:id="1018"/>
      <w:bookmarkEnd w:id="1019"/>
      <w:r>
        <w:rPr>
          <w:rFonts w:hint="eastAsia" w:ascii="微软雅黑" w:hAnsi="微软雅黑" w:eastAsia="微软雅黑" w:cs="微软雅黑"/>
          <w:b/>
          <w:bCs/>
          <w:sz w:val="20"/>
          <w:szCs w:val="20"/>
        </w:rPr>
        <w:t>毕业生对学校就业手续办理的满意度情况</w:t>
      </w:r>
    </w:p>
    <w:p>
      <w:pPr>
        <w:spacing w:line="360" w:lineRule="auto"/>
        <w:ind w:firstLine="480" w:firstLineChars="200"/>
        <w:jc w:val="left"/>
        <w:rPr>
          <w:rFonts w:ascii="宋体" w:hAnsi="宋体" w:cs="宋体"/>
          <w:sz w:val="24"/>
          <w:lang w:val="zh-CN"/>
        </w:rPr>
      </w:pPr>
      <w:r>
        <w:rPr>
          <w:rFonts w:hint="eastAsia" w:ascii="宋体" w:hAnsi="宋体" w:cs="宋体"/>
          <w:sz w:val="24"/>
        </w:rPr>
        <w:t>其中“非常满意”39.16%,“比较满意”占比28.85%，“一般”占比23.33%，“比较不满意”占比2.97%，“很不满意”占比5.69%。（图2-11所示）</w:t>
      </w:r>
    </w:p>
    <w:p>
      <w:pPr>
        <w:pStyle w:val="2"/>
        <w:numPr>
          <w:ilvl w:val="0"/>
          <w:numId w:val="12"/>
        </w:numPr>
        <w:spacing w:line="600" w:lineRule="auto"/>
        <w:outlineLvl w:val="1"/>
        <w:rPr>
          <w:rFonts w:ascii="黑体" w:hAnsi="黑体" w:eastAsia="黑体" w:cs="黑体"/>
          <w:b/>
          <w:bCs/>
        </w:rPr>
      </w:pPr>
      <w:bookmarkStart w:id="1020" w:name="_Toc14443"/>
      <w:bookmarkStart w:id="1021" w:name="_Toc12105"/>
      <w:bookmarkStart w:id="1022" w:name="_Toc27512"/>
      <w:bookmarkStart w:id="1023" w:name="_Toc19930"/>
      <w:bookmarkStart w:id="1024" w:name="_Toc30859"/>
      <w:bookmarkStart w:id="1025" w:name="_Toc10935"/>
      <w:bookmarkStart w:id="1026" w:name="_Toc23770"/>
      <w:bookmarkStart w:id="1027" w:name="_Toc25954"/>
      <w:bookmarkStart w:id="1028" w:name="_Toc20905"/>
      <w:bookmarkStart w:id="1029" w:name="_Toc29212"/>
      <w:bookmarkStart w:id="1030" w:name="_Toc31581"/>
      <w:bookmarkStart w:id="1031" w:name="_Toc6980"/>
      <w:r>
        <w:rPr>
          <w:rFonts w:hint="eastAsia" w:ascii="黑体" w:hAnsi="黑体" w:eastAsia="黑体" w:cs="黑体"/>
          <w:b/>
          <w:bCs/>
        </w:rPr>
        <w:t>毕业生就业信息渠道来源</w:t>
      </w:r>
      <w:bookmarkEnd w:id="932"/>
      <w:bookmarkEnd w:id="933"/>
      <w:bookmarkEnd w:id="934"/>
      <w:bookmarkEnd w:id="935"/>
      <w:bookmarkEnd w:id="936"/>
      <w:bookmarkEnd w:id="937"/>
      <w:bookmarkEnd w:id="938"/>
      <w:r>
        <w:rPr>
          <w:rFonts w:hint="eastAsia" w:ascii="黑体" w:hAnsi="黑体" w:eastAsia="黑体" w:cs="黑体"/>
          <w:b/>
          <w:bCs/>
        </w:rPr>
        <w:t>分析</w:t>
      </w:r>
      <w:bookmarkEnd w:id="939"/>
      <w:bookmarkEnd w:id="940"/>
      <w:bookmarkEnd w:id="941"/>
      <w:bookmarkEnd w:id="942"/>
      <w:bookmarkEnd w:id="943"/>
      <w:bookmarkEnd w:id="944"/>
      <w:bookmarkEnd w:id="945"/>
      <w:bookmarkEnd w:id="946"/>
      <w:bookmarkEnd w:id="947"/>
      <w:bookmarkEnd w:id="948"/>
      <w:bookmarkEnd w:id="949"/>
      <w:bookmarkEnd w:id="1020"/>
      <w:bookmarkEnd w:id="1021"/>
      <w:bookmarkEnd w:id="1022"/>
      <w:bookmarkEnd w:id="1023"/>
      <w:bookmarkEnd w:id="1024"/>
      <w:bookmarkEnd w:id="1025"/>
      <w:bookmarkEnd w:id="1026"/>
      <w:bookmarkEnd w:id="1027"/>
      <w:bookmarkEnd w:id="1028"/>
      <w:bookmarkEnd w:id="1029"/>
      <w:bookmarkEnd w:id="1030"/>
      <w:bookmarkEnd w:id="1031"/>
    </w:p>
    <w:p>
      <w:pPr>
        <w:spacing w:line="360" w:lineRule="auto"/>
        <w:ind w:firstLine="480" w:firstLineChars="200"/>
        <w:jc w:val="left"/>
        <w:rPr>
          <w:rFonts w:ascii="宋体" w:hAnsi="宋体" w:cs="宋体"/>
          <w:spacing w:val="-2"/>
          <w:sz w:val="24"/>
          <w:lang w:val="zh-CN" w:bidi="zh-CN"/>
        </w:rPr>
      </w:pPr>
      <w:r>
        <w:rPr>
          <w:rFonts w:hint="eastAsia" w:ascii="宋体" w:hAnsi="宋体" w:cs="宋体"/>
          <w:sz w:val="24"/>
          <w:lang w:val="zh-CN"/>
        </w:rPr>
        <w:t>毕业生就业信息渠道主要包含</w:t>
      </w:r>
      <w:r>
        <w:rPr>
          <w:rFonts w:hint="eastAsia" w:ascii="宋体" w:hAnsi="宋体" w:cs="宋体"/>
          <w:sz w:val="24"/>
        </w:rPr>
        <w:t>7</w:t>
      </w:r>
      <w:r>
        <w:rPr>
          <w:rFonts w:hint="eastAsia" w:ascii="宋体" w:hAnsi="宋体" w:cs="宋体"/>
          <w:sz w:val="24"/>
          <w:lang w:val="zh-CN"/>
        </w:rPr>
        <w:t>个来源：网络渠道、校外招聘会、校内招聘会、教师（含辅导员）推荐、宣讲会、校企合作和家庭渠道。</w:t>
      </w:r>
    </w:p>
    <w:p>
      <w:pPr>
        <w:widowControl/>
        <w:spacing w:line="360" w:lineRule="auto"/>
        <w:ind w:firstLine="420" w:firstLineChars="200"/>
      </w:pPr>
      <w:r>
        <w:drawing>
          <wp:inline distT="0" distB="0" distL="114300" distR="114300">
            <wp:extent cx="4572000" cy="3001645"/>
            <wp:effectExtent l="4445" t="4445" r="14605" b="22860"/>
            <wp:docPr id="4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spacing w:line="480" w:lineRule="auto"/>
        <w:jc w:val="center"/>
        <w:rPr>
          <w:rFonts w:ascii="黑体" w:hAnsi="黑体" w:eastAsia="黑体" w:cs="黑体"/>
          <w:b/>
          <w:bCs/>
          <w:color w:val="333333"/>
          <w:kern w:val="0"/>
          <w:szCs w:val="21"/>
          <w:shd w:val="clear" w:color="auto" w:fill="FFFFFF"/>
        </w:rPr>
      </w:pPr>
      <w:r>
        <w:rPr>
          <w:rFonts w:hint="eastAsia" w:ascii="黑体" w:hAnsi="黑体" w:eastAsia="黑体" w:cs="黑体"/>
          <w:b/>
          <w:bCs/>
          <w:color w:val="333333"/>
          <w:kern w:val="0"/>
          <w:szCs w:val="21"/>
          <w:shd w:val="clear" w:color="auto" w:fill="FFFFFF"/>
        </w:rPr>
        <w:t>图2-12 毕业生就业信息渠道来源分析</w:t>
      </w:r>
    </w:p>
    <w:p>
      <w:pPr>
        <w:spacing w:line="360" w:lineRule="auto"/>
        <w:ind w:firstLine="480" w:firstLineChars="200"/>
        <w:jc w:val="left"/>
        <w:rPr>
          <w:rFonts w:ascii="黑体" w:hAnsi="黑体" w:eastAsia="黑体" w:cs="黑体"/>
          <w:b/>
          <w:bCs/>
          <w:color w:val="333333"/>
          <w:kern w:val="0"/>
          <w:szCs w:val="21"/>
          <w:shd w:val="clear" w:color="auto" w:fill="FFFFFF"/>
        </w:rPr>
      </w:pPr>
      <w:r>
        <w:rPr>
          <w:rFonts w:hint="eastAsia" w:ascii="宋体" w:hAnsi="宋体" w:cs="宋体"/>
          <w:sz w:val="24"/>
          <w:lang w:val="zh-CN"/>
        </w:rPr>
        <w:t>数据调研显示，有</w:t>
      </w:r>
      <w:r>
        <w:rPr>
          <w:rFonts w:hint="eastAsia" w:ascii="宋体" w:hAnsi="宋体" w:cs="宋体"/>
          <w:sz w:val="24"/>
        </w:rPr>
        <w:t>29.46%的占比分布在“网络渠道”，有19.13%的占比分布在“校内招聘会”，有15.08%的占比分布在“校外招聘会”。以上三项也是渠道来源调研中分布比例最高的。</w:t>
      </w:r>
      <w:r>
        <w:rPr>
          <w:rFonts w:hint="eastAsia" w:ascii="宋体" w:hAnsi="宋体" w:cs="宋体"/>
          <w:sz w:val="24"/>
          <w:lang w:val="zh-CN"/>
        </w:rPr>
        <w:t>（图2-</w:t>
      </w:r>
      <w:r>
        <w:rPr>
          <w:rFonts w:hint="eastAsia" w:ascii="宋体" w:hAnsi="宋体" w:cs="宋体"/>
          <w:sz w:val="24"/>
        </w:rPr>
        <w:t>12</w:t>
      </w:r>
      <w:r>
        <w:rPr>
          <w:rFonts w:hint="eastAsia" w:ascii="宋体" w:hAnsi="宋体" w:cs="宋体"/>
          <w:sz w:val="24"/>
          <w:lang w:val="zh-CN"/>
        </w:rPr>
        <w:t>所示）</w:t>
      </w:r>
    </w:p>
    <w:p>
      <w:pPr>
        <w:pStyle w:val="2"/>
        <w:numPr>
          <w:ilvl w:val="0"/>
          <w:numId w:val="12"/>
        </w:numPr>
        <w:spacing w:line="600" w:lineRule="auto"/>
        <w:outlineLvl w:val="1"/>
        <w:rPr>
          <w:rFonts w:ascii="黑体" w:hAnsi="黑体" w:eastAsia="黑体" w:cs="黑体"/>
          <w:b/>
          <w:bCs/>
          <w:lang w:val="en-US"/>
        </w:rPr>
      </w:pPr>
      <w:bookmarkStart w:id="1032" w:name="_Toc11649"/>
      <w:bookmarkStart w:id="1033" w:name="_Toc26363"/>
      <w:bookmarkStart w:id="1034" w:name="_Toc20763"/>
      <w:bookmarkStart w:id="1035" w:name="_Toc20766"/>
      <w:bookmarkStart w:id="1036" w:name="_Toc27078"/>
      <w:bookmarkStart w:id="1037" w:name="_Toc1258"/>
      <w:bookmarkStart w:id="1038" w:name="_Toc27085"/>
      <w:bookmarkStart w:id="1039" w:name="_Toc8121"/>
      <w:bookmarkStart w:id="1040" w:name="_Toc19904"/>
      <w:bookmarkStart w:id="1041" w:name="_Toc31458"/>
      <w:bookmarkStart w:id="1042" w:name="_Toc987"/>
      <w:bookmarkStart w:id="1043" w:name="_Toc10006"/>
      <w:bookmarkStart w:id="1044" w:name="_Toc2447"/>
      <w:bookmarkStart w:id="1045" w:name="_Toc30591"/>
      <w:bookmarkStart w:id="1046" w:name="_Toc13057"/>
      <w:bookmarkStart w:id="1047" w:name="_Toc22524"/>
      <w:bookmarkStart w:id="1048" w:name="_Toc32512"/>
      <w:bookmarkStart w:id="1049" w:name="_Toc22918"/>
      <w:bookmarkStart w:id="1050" w:name="_Toc24010"/>
      <w:bookmarkStart w:id="1051" w:name="_Toc13552"/>
      <w:bookmarkStart w:id="1052" w:name="_Toc2034"/>
      <w:bookmarkStart w:id="1053" w:name="_Toc14993"/>
      <w:bookmarkStart w:id="1054" w:name="_Toc30045"/>
      <w:bookmarkStart w:id="1055" w:name="_Toc26973"/>
      <w:bookmarkStart w:id="1056" w:name="_Toc9471"/>
      <w:bookmarkStart w:id="1057" w:name="_Toc403"/>
      <w:bookmarkStart w:id="1058" w:name="_Toc20094"/>
      <w:bookmarkStart w:id="1059" w:name="_Toc18892"/>
      <w:bookmarkStart w:id="1060" w:name="_Toc32283"/>
      <w:bookmarkStart w:id="1061" w:name="_Toc30584"/>
      <w:bookmarkStart w:id="1062" w:name="_Toc13561"/>
      <w:bookmarkStart w:id="1063" w:name="_Toc4637"/>
      <w:bookmarkStart w:id="1064" w:name="_Toc22621"/>
      <w:bookmarkStart w:id="1065" w:name="_Toc15272"/>
      <w:r>
        <w:rPr>
          <w:rFonts w:hint="eastAsia" w:ascii="黑体" w:hAnsi="黑体" w:eastAsia="黑体" w:cs="黑体"/>
          <w:b/>
          <w:bCs/>
          <w:lang w:val="en-US"/>
        </w:rPr>
        <w:t>毕业生对学校开设就业指导课的满意度情况</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spacing w:line="360" w:lineRule="auto"/>
        <w:ind w:firstLine="480" w:firstLineChars="200"/>
        <w:jc w:val="left"/>
        <w:rPr>
          <w:rFonts w:ascii="宋体" w:hAnsi="宋体" w:cs="宋体"/>
          <w:sz w:val="24"/>
        </w:rPr>
      </w:pPr>
      <w:r>
        <w:rPr>
          <w:rFonts w:hint="eastAsia" w:ascii="宋体" w:hAnsi="宋体" w:cs="宋体"/>
          <w:sz w:val="24"/>
        </w:rPr>
        <w:t>毕业生对学校开设的就业指导课的满意度（即“非常满意”和“比较满意”、“一般”人数比例之和）为91.25%。</w:t>
      </w:r>
    </w:p>
    <w:p>
      <w:pPr>
        <w:spacing w:line="360" w:lineRule="auto"/>
        <w:ind w:firstLine="480" w:firstLineChars="200"/>
        <w:jc w:val="left"/>
        <w:rPr>
          <w:rFonts w:ascii="宋体" w:hAnsi="宋体" w:cs="宋体"/>
          <w:sz w:val="24"/>
        </w:rPr>
      </w:pPr>
      <w:r>
        <w:rPr>
          <w:rFonts w:hint="eastAsia" w:ascii="宋体" w:hAnsi="宋体" w:cs="宋体"/>
          <w:sz w:val="24"/>
        </w:rPr>
        <w:t>其中“非常满意”占比24.27%,“比较满意”占比34.92%。</w:t>
      </w:r>
    </w:p>
    <w:p>
      <w:pPr>
        <w:spacing w:line="360" w:lineRule="auto"/>
        <w:ind w:firstLine="480" w:firstLineChars="200"/>
        <w:jc w:val="left"/>
        <w:rPr>
          <w:rFonts w:ascii="宋体" w:hAnsi="宋体" w:cs="宋体"/>
          <w:sz w:val="24"/>
        </w:rPr>
      </w:pPr>
      <w:r>
        <w:rPr>
          <w:rFonts w:hint="eastAsia" w:ascii="宋体" w:hAnsi="宋体" w:cs="宋体"/>
          <w:sz w:val="24"/>
        </w:rPr>
        <w:t>“一般”占比32.06%，“比较不满意”占比3.65%，“非常不满意”占比5.10%。（图2-13所示）</w:t>
      </w:r>
    </w:p>
    <w:p>
      <w:pPr>
        <w:spacing w:line="360" w:lineRule="auto"/>
        <w:ind w:firstLine="480" w:firstLineChars="200"/>
        <w:jc w:val="left"/>
        <w:rPr>
          <w:rFonts w:ascii="宋体" w:hAnsi="宋体" w:cs="宋体"/>
          <w:sz w:val="24"/>
        </w:rPr>
      </w:pPr>
    </w:p>
    <w:p>
      <w:pPr>
        <w:widowControl/>
        <w:spacing w:line="360" w:lineRule="auto"/>
        <w:ind w:firstLine="420" w:firstLineChars="200"/>
        <w:jc w:val="center"/>
      </w:pPr>
      <w:r>
        <w:drawing>
          <wp:inline distT="0" distB="0" distL="114300" distR="114300">
            <wp:extent cx="4572000" cy="2743200"/>
            <wp:effectExtent l="4445" t="4445" r="14605" b="14605"/>
            <wp:docPr id="4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widowControl/>
        <w:spacing w:line="360" w:lineRule="auto"/>
        <w:ind w:firstLine="400" w:firstLineChars="200"/>
        <w:jc w:val="center"/>
        <w:rPr>
          <w:rFonts w:ascii="微软雅黑" w:hAnsi="微软雅黑" w:eastAsia="微软雅黑" w:cs="微软雅黑"/>
          <w:b/>
          <w:bCs/>
          <w:sz w:val="20"/>
          <w:szCs w:val="20"/>
        </w:rPr>
      </w:pPr>
      <w:r>
        <w:rPr>
          <w:rFonts w:hint="eastAsia" w:ascii="微软雅黑" w:hAnsi="微软雅黑" w:eastAsia="微软雅黑" w:cs="微软雅黑"/>
          <w:b/>
          <w:bCs/>
          <w:sz w:val="20"/>
          <w:szCs w:val="20"/>
        </w:rPr>
        <w:t>图2-13 毕业生对学校开设就业指导课的满意度情况</w:t>
      </w:r>
    </w:p>
    <w:p>
      <w:pPr>
        <w:pStyle w:val="2"/>
        <w:numPr>
          <w:ilvl w:val="0"/>
          <w:numId w:val="12"/>
        </w:numPr>
        <w:spacing w:line="600" w:lineRule="auto"/>
        <w:outlineLvl w:val="1"/>
        <w:rPr>
          <w:rFonts w:ascii="黑体" w:hAnsi="黑体" w:eastAsia="黑体" w:cs="黑体"/>
          <w:b/>
          <w:bCs/>
          <w:lang w:val="en-US"/>
        </w:rPr>
      </w:pPr>
      <w:bookmarkStart w:id="1066" w:name="_Toc28032"/>
      <w:bookmarkStart w:id="1067" w:name="_Toc15003"/>
      <w:bookmarkStart w:id="1068" w:name="_Toc32431"/>
      <w:bookmarkStart w:id="1069" w:name="_Toc16070"/>
      <w:bookmarkStart w:id="1070" w:name="_Toc18993"/>
      <w:bookmarkStart w:id="1071" w:name="_Toc1198"/>
      <w:bookmarkStart w:id="1072" w:name="_Toc28690"/>
      <w:bookmarkStart w:id="1073" w:name="_Toc7440"/>
      <w:bookmarkStart w:id="1074" w:name="_Toc318"/>
      <w:bookmarkStart w:id="1075" w:name="_Toc2193"/>
      <w:bookmarkStart w:id="1076" w:name="_Toc13820"/>
      <w:bookmarkStart w:id="1077" w:name="_Toc15462"/>
      <w:bookmarkStart w:id="1078" w:name="_Toc26511"/>
      <w:bookmarkStart w:id="1079" w:name="_Toc28499"/>
      <w:bookmarkStart w:id="1080" w:name="_Toc23188"/>
      <w:bookmarkStart w:id="1081" w:name="_Toc264"/>
      <w:bookmarkStart w:id="1082" w:name="_Toc6619"/>
      <w:bookmarkStart w:id="1083" w:name="_Toc15157"/>
      <w:bookmarkStart w:id="1084" w:name="_Toc21028"/>
      <w:bookmarkStart w:id="1085" w:name="_Toc4563"/>
      <w:bookmarkStart w:id="1086" w:name="_Toc11699"/>
      <w:bookmarkStart w:id="1087" w:name="_Toc20998"/>
      <w:bookmarkStart w:id="1088" w:name="_Toc21781"/>
      <w:bookmarkStart w:id="1089" w:name="_Toc32529"/>
      <w:bookmarkStart w:id="1090" w:name="_Toc17197"/>
      <w:bookmarkStart w:id="1091" w:name="_Toc23085"/>
      <w:bookmarkStart w:id="1092" w:name="_Toc8516"/>
      <w:bookmarkStart w:id="1093" w:name="_Toc16156"/>
      <w:bookmarkStart w:id="1094" w:name="_Toc3565"/>
      <w:bookmarkStart w:id="1095" w:name="_Toc26662"/>
      <w:bookmarkStart w:id="1096" w:name="_Toc14742"/>
      <w:bookmarkStart w:id="1097" w:name="_Toc25720"/>
      <w:bookmarkStart w:id="1098" w:name="_Toc12968"/>
      <w:bookmarkStart w:id="1099" w:name="_Toc21610"/>
      <w:r>
        <w:rPr>
          <w:rFonts w:hint="eastAsia" w:ascii="黑体" w:hAnsi="黑体" w:eastAsia="黑体" w:cs="黑体"/>
          <w:b/>
          <w:bCs/>
          <w:lang w:val="en-US"/>
        </w:rPr>
        <w:t>毕业生对学校就业信息服务网的满意度情况</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spacing w:line="360" w:lineRule="auto"/>
        <w:ind w:firstLine="480" w:firstLineChars="200"/>
        <w:jc w:val="left"/>
        <w:rPr>
          <w:rFonts w:ascii="宋体" w:hAnsi="宋体" w:cs="宋体"/>
          <w:sz w:val="24"/>
        </w:rPr>
      </w:pPr>
      <w:r>
        <w:rPr>
          <w:rFonts w:hint="eastAsia" w:ascii="宋体" w:hAnsi="宋体" w:cs="宋体"/>
          <w:sz w:val="24"/>
        </w:rPr>
        <w:t>毕业生对学校就业信息服务网的满意度（即“非常满意”和“比较满意”、“一般”人数比例之和）为94.76%。</w:t>
      </w:r>
    </w:p>
    <w:p>
      <w:pPr>
        <w:spacing w:line="360" w:lineRule="auto"/>
        <w:ind w:firstLine="480" w:firstLineChars="200"/>
        <w:jc w:val="left"/>
        <w:rPr>
          <w:rFonts w:ascii="宋体" w:hAnsi="宋体" w:cs="宋体"/>
          <w:sz w:val="24"/>
        </w:rPr>
      </w:pPr>
    </w:p>
    <w:p>
      <w:pPr>
        <w:spacing w:line="360" w:lineRule="auto"/>
        <w:jc w:val="center"/>
        <w:rPr>
          <w:rFonts w:ascii="宋体" w:hAnsi="宋体" w:cs="宋体"/>
          <w:sz w:val="24"/>
        </w:rPr>
      </w:pPr>
      <w:r>
        <w:drawing>
          <wp:inline distT="0" distB="0" distL="114300" distR="114300">
            <wp:extent cx="4572000" cy="2743200"/>
            <wp:effectExtent l="4445" t="4445" r="14605" b="14605"/>
            <wp:docPr id="4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spacing w:line="360" w:lineRule="auto"/>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rPr>
        <w:t xml:space="preserve">图2-14 </w:t>
      </w:r>
      <w:r>
        <w:rPr>
          <w:rFonts w:hint="eastAsia" w:ascii="微软雅黑" w:hAnsi="微软雅黑" w:eastAsia="微软雅黑" w:cs="微软雅黑"/>
          <w:b/>
          <w:bCs/>
          <w:sz w:val="20"/>
          <w:szCs w:val="20"/>
          <w:lang w:bidi="zh-CN"/>
        </w:rPr>
        <w:t>毕业生对学校就业信息服务网的满意度情况</w:t>
      </w:r>
    </w:p>
    <w:p>
      <w:pPr>
        <w:spacing w:line="360" w:lineRule="auto"/>
        <w:ind w:firstLine="480" w:firstLineChars="200"/>
        <w:jc w:val="left"/>
        <w:rPr>
          <w:rFonts w:ascii="微软雅黑" w:hAnsi="微软雅黑" w:eastAsia="微软雅黑" w:cs="微软雅黑"/>
          <w:b/>
          <w:bCs/>
          <w:sz w:val="20"/>
          <w:szCs w:val="20"/>
          <w:lang w:bidi="zh-CN"/>
        </w:rPr>
      </w:pPr>
      <w:r>
        <w:rPr>
          <w:rFonts w:hint="eastAsia" w:ascii="宋体" w:hAnsi="宋体" w:cs="宋体"/>
          <w:sz w:val="24"/>
        </w:rPr>
        <w:t>其中“非常满意”占比25.68%,“比较满意”占比36.13%，“一般”占比32.95%“比较不满意”占比2.91%，“非常不满意”占比2.33%。（图2-14所示）</w:t>
      </w:r>
    </w:p>
    <w:p>
      <w:pPr>
        <w:numPr>
          <w:ilvl w:val="0"/>
          <w:numId w:val="8"/>
        </w:numPr>
        <w:spacing w:line="600" w:lineRule="auto"/>
        <w:outlineLvl w:val="0"/>
        <w:rPr>
          <w:rFonts w:ascii="黑体" w:hAnsi="黑体" w:eastAsia="黑体" w:cs="黑体"/>
          <w:b/>
          <w:color w:val="000000"/>
          <w:sz w:val="30"/>
          <w:szCs w:val="30"/>
        </w:rPr>
      </w:pPr>
      <w:bookmarkStart w:id="1100" w:name="_Toc32454"/>
      <w:bookmarkStart w:id="1101" w:name="_Toc18576"/>
      <w:bookmarkStart w:id="1102" w:name="_Toc3738"/>
      <w:bookmarkStart w:id="1103" w:name="_Toc10052"/>
      <w:bookmarkStart w:id="1104" w:name="_Toc22548"/>
      <w:bookmarkStart w:id="1105" w:name="_Toc22704"/>
      <w:bookmarkStart w:id="1106" w:name="_Toc23283"/>
      <w:bookmarkStart w:id="1107" w:name="_Toc26339"/>
      <w:bookmarkStart w:id="1108" w:name="_Toc7789"/>
      <w:bookmarkStart w:id="1109" w:name="_Toc25681"/>
      <w:bookmarkStart w:id="1110" w:name="_Toc10008"/>
      <w:bookmarkStart w:id="1111" w:name="_Toc25949"/>
      <w:bookmarkStart w:id="1112" w:name="_Toc17300"/>
      <w:bookmarkStart w:id="1113" w:name="_Toc20651"/>
      <w:bookmarkStart w:id="1114" w:name="_Toc12106"/>
      <w:bookmarkStart w:id="1115" w:name="_Toc25915"/>
      <w:bookmarkStart w:id="1116" w:name="_Toc6012"/>
      <w:bookmarkStart w:id="1117" w:name="_Toc31089"/>
      <w:bookmarkStart w:id="1118" w:name="_Toc2888"/>
      <w:bookmarkStart w:id="1119" w:name="_Toc25510"/>
      <w:bookmarkStart w:id="1120" w:name="_Toc19519"/>
      <w:bookmarkStart w:id="1121" w:name="_Toc26280"/>
      <w:bookmarkStart w:id="1122" w:name="_Toc13884"/>
      <w:bookmarkStart w:id="1123" w:name="_Toc13077"/>
      <w:bookmarkStart w:id="1124" w:name="_Toc16833"/>
      <w:bookmarkStart w:id="1125" w:name="_Toc16320"/>
      <w:bookmarkStart w:id="1126" w:name="_Toc5419"/>
      <w:bookmarkStart w:id="1127" w:name="_Toc6368"/>
      <w:bookmarkStart w:id="1128" w:name="_Toc12328"/>
      <w:bookmarkStart w:id="1129" w:name="_Toc181"/>
      <w:bookmarkStart w:id="1130" w:name="_Toc19102"/>
      <w:bookmarkStart w:id="1131" w:name="_Toc27933"/>
      <w:bookmarkStart w:id="1132" w:name="_Toc29892"/>
      <w:bookmarkStart w:id="1133" w:name="_Toc2651"/>
      <w:r>
        <w:rPr>
          <w:rFonts w:hint="eastAsia" w:ascii="黑体" w:hAnsi="黑体" w:eastAsia="黑体" w:cs="黑体"/>
          <w:b/>
          <w:color w:val="000000"/>
          <w:sz w:val="30"/>
          <w:szCs w:val="30"/>
        </w:rPr>
        <w:t>毕业生对学校的满意度情况及分析</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2"/>
        <w:numPr>
          <w:ilvl w:val="0"/>
          <w:numId w:val="13"/>
        </w:numPr>
        <w:spacing w:line="600" w:lineRule="auto"/>
        <w:outlineLvl w:val="1"/>
        <w:rPr>
          <w:rFonts w:ascii="黑体" w:hAnsi="黑体" w:eastAsia="黑体" w:cs="黑体"/>
          <w:b/>
          <w:bCs/>
          <w:lang w:val="en-US"/>
        </w:rPr>
      </w:pPr>
      <w:bookmarkStart w:id="1134" w:name="_Toc22700"/>
      <w:bookmarkStart w:id="1135" w:name="_Toc5563"/>
      <w:bookmarkStart w:id="1136" w:name="_Toc15823"/>
      <w:bookmarkStart w:id="1137" w:name="_Toc4079"/>
      <w:bookmarkStart w:id="1138" w:name="_Toc2665"/>
      <w:bookmarkStart w:id="1139" w:name="_Toc6764"/>
      <w:bookmarkStart w:id="1140" w:name="_Toc3101"/>
      <w:bookmarkStart w:id="1141" w:name="_Toc21408"/>
      <w:bookmarkStart w:id="1142" w:name="_Toc10262"/>
      <w:bookmarkStart w:id="1143" w:name="_Toc25007"/>
      <w:bookmarkStart w:id="1144" w:name="_Toc21923"/>
      <w:bookmarkStart w:id="1145" w:name="_Toc30038"/>
      <w:bookmarkStart w:id="1146" w:name="_Toc488"/>
      <w:bookmarkStart w:id="1147" w:name="_Toc20274"/>
      <w:bookmarkStart w:id="1148" w:name="_Toc8266"/>
      <w:bookmarkStart w:id="1149" w:name="_Toc27960"/>
      <w:bookmarkStart w:id="1150" w:name="_Toc3487"/>
      <w:bookmarkStart w:id="1151" w:name="_Toc25577"/>
      <w:bookmarkStart w:id="1152" w:name="_Toc9168"/>
      <w:bookmarkStart w:id="1153" w:name="_Toc32361"/>
      <w:bookmarkStart w:id="1154" w:name="_Toc23561"/>
      <w:bookmarkStart w:id="1155" w:name="_Toc26027"/>
      <w:bookmarkStart w:id="1156" w:name="_Toc8815"/>
      <w:bookmarkStart w:id="1157" w:name="_Toc31437"/>
      <w:bookmarkStart w:id="1158" w:name="_Toc2381"/>
      <w:bookmarkStart w:id="1159" w:name="_Toc4172"/>
      <w:bookmarkStart w:id="1160" w:name="_Toc8429"/>
      <w:bookmarkStart w:id="1161" w:name="_Toc14037"/>
      <w:bookmarkStart w:id="1162" w:name="_Toc27870"/>
      <w:bookmarkStart w:id="1163" w:name="_Toc4768"/>
      <w:bookmarkStart w:id="1164" w:name="_Toc19835"/>
      <w:bookmarkStart w:id="1165" w:name="_Toc13969"/>
      <w:bookmarkStart w:id="1166" w:name="_Toc31622"/>
      <w:bookmarkStart w:id="1167" w:name="_Toc14677"/>
      <w:r>
        <w:rPr>
          <w:rFonts w:hint="eastAsia" w:ascii="黑体" w:hAnsi="黑体" w:eastAsia="黑体" w:cs="黑体"/>
          <w:b/>
          <w:bCs/>
          <w:lang w:val="en-US"/>
        </w:rPr>
        <w:t>毕业生对学校的总体满意度情况</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spacing w:line="360" w:lineRule="auto"/>
        <w:ind w:firstLine="480" w:firstLineChars="200"/>
        <w:jc w:val="left"/>
        <w:rPr>
          <w:rFonts w:ascii="宋体" w:hAnsi="宋体" w:cs="宋体"/>
          <w:sz w:val="24"/>
        </w:rPr>
      </w:pPr>
      <w:r>
        <w:rPr>
          <w:rFonts w:hint="eastAsia" w:ascii="宋体" w:hAnsi="宋体" w:cs="宋体"/>
          <w:sz w:val="24"/>
        </w:rPr>
        <w:t>毕业生对学校的总体满意度（即“非常满意”和“比较满意”、“一般”人 数比例之和）为96.48%。</w:t>
      </w:r>
    </w:p>
    <w:p>
      <w:pPr>
        <w:spacing w:line="360" w:lineRule="auto"/>
        <w:ind w:firstLine="480" w:firstLineChars="200"/>
        <w:jc w:val="left"/>
        <w:rPr>
          <w:rFonts w:ascii="宋体" w:hAnsi="宋体" w:cs="宋体"/>
          <w:sz w:val="24"/>
          <w:szCs w:val="32"/>
        </w:rPr>
      </w:pPr>
    </w:p>
    <w:p>
      <w:pPr>
        <w:spacing w:line="360" w:lineRule="auto"/>
        <w:jc w:val="center"/>
      </w:pPr>
      <w:r>
        <w:drawing>
          <wp:inline distT="0" distB="0" distL="114300" distR="114300">
            <wp:extent cx="4572000" cy="2743200"/>
            <wp:effectExtent l="4445" t="4445" r="14605" b="14605"/>
            <wp:docPr id="5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spacing w:line="360" w:lineRule="auto"/>
        <w:jc w:val="center"/>
        <w:rPr>
          <w:rFonts w:ascii="微软雅黑" w:hAnsi="微软雅黑" w:eastAsia="微软雅黑" w:cs="微软雅黑"/>
          <w:b/>
          <w:bCs/>
          <w:sz w:val="20"/>
          <w:szCs w:val="20"/>
        </w:rPr>
      </w:pPr>
      <w:r>
        <w:rPr>
          <w:rFonts w:hint="eastAsia" w:ascii="微软雅黑" w:hAnsi="微软雅黑" w:eastAsia="微软雅黑" w:cs="微软雅黑"/>
          <w:b/>
          <w:bCs/>
          <w:sz w:val="20"/>
          <w:szCs w:val="20"/>
        </w:rPr>
        <w:t>图2-15 毕业生对学校的总体满意度情况</w:t>
      </w:r>
    </w:p>
    <w:p>
      <w:pPr>
        <w:spacing w:line="360" w:lineRule="auto"/>
        <w:ind w:firstLine="480" w:firstLineChars="200"/>
        <w:jc w:val="left"/>
        <w:rPr>
          <w:rFonts w:ascii="宋体" w:hAnsi="宋体" w:cs="宋体"/>
          <w:sz w:val="24"/>
        </w:rPr>
      </w:pPr>
      <w:r>
        <w:rPr>
          <w:rFonts w:hint="eastAsia" w:ascii="宋体" w:hAnsi="宋体" w:cs="宋体"/>
          <w:sz w:val="24"/>
        </w:rPr>
        <w:t>其中“非常满意”占比30.46%，“比较满意”占比45.13%。</w:t>
      </w:r>
    </w:p>
    <w:p>
      <w:pPr>
        <w:spacing w:line="360" w:lineRule="auto"/>
        <w:ind w:firstLine="480" w:firstLineChars="200"/>
        <w:jc w:val="left"/>
        <w:rPr>
          <w:rFonts w:ascii="微软雅黑" w:hAnsi="微软雅黑" w:eastAsia="微软雅黑" w:cs="微软雅黑"/>
          <w:b/>
          <w:bCs/>
          <w:sz w:val="20"/>
          <w:szCs w:val="20"/>
        </w:rPr>
      </w:pPr>
      <w:r>
        <w:rPr>
          <w:rFonts w:hint="eastAsia" w:ascii="宋体" w:hAnsi="宋体" w:cs="宋体"/>
          <w:sz w:val="24"/>
        </w:rPr>
        <w:t>“一般”占比20.89%，“比较不满意”占比2.83%，“非常不满意”占比0.69%。（图2-15所示）</w:t>
      </w:r>
    </w:p>
    <w:p>
      <w:pPr>
        <w:pStyle w:val="2"/>
        <w:numPr>
          <w:ilvl w:val="0"/>
          <w:numId w:val="13"/>
        </w:numPr>
        <w:spacing w:line="600" w:lineRule="auto"/>
        <w:outlineLvl w:val="1"/>
        <w:rPr>
          <w:rFonts w:ascii="黑体" w:hAnsi="黑体" w:eastAsia="黑体" w:cs="黑体"/>
          <w:b/>
          <w:bCs/>
          <w:lang w:val="en-US"/>
        </w:rPr>
      </w:pPr>
      <w:bookmarkStart w:id="1168" w:name="_Toc483"/>
      <w:bookmarkStart w:id="1169" w:name="_Toc14449"/>
      <w:bookmarkStart w:id="1170" w:name="_Toc2116"/>
      <w:bookmarkStart w:id="1171" w:name="_Toc31826"/>
      <w:bookmarkStart w:id="1172" w:name="_Toc30874"/>
      <w:bookmarkStart w:id="1173" w:name="_Toc12346"/>
      <w:bookmarkStart w:id="1174" w:name="_Toc2462"/>
      <w:bookmarkStart w:id="1175" w:name="_Toc24540"/>
      <w:bookmarkStart w:id="1176" w:name="_Toc16582"/>
      <w:bookmarkStart w:id="1177" w:name="_Toc23376"/>
      <w:bookmarkStart w:id="1178" w:name="_Toc603"/>
      <w:bookmarkStart w:id="1179" w:name="_Toc9591"/>
      <w:bookmarkStart w:id="1180" w:name="_Toc7170"/>
      <w:bookmarkStart w:id="1181" w:name="_Toc26473"/>
      <w:bookmarkStart w:id="1182" w:name="_Toc32294"/>
      <w:bookmarkStart w:id="1183" w:name="_Toc2735"/>
      <w:bookmarkStart w:id="1184" w:name="_Toc11621"/>
      <w:bookmarkStart w:id="1185" w:name="_Toc4110"/>
      <w:bookmarkStart w:id="1186" w:name="_Toc13910"/>
      <w:bookmarkStart w:id="1187" w:name="_Toc13816"/>
      <w:bookmarkStart w:id="1188" w:name="_Toc23751"/>
      <w:bookmarkStart w:id="1189" w:name="_Toc32049"/>
      <w:bookmarkStart w:id="1190" w:name="_Toc9746"/>
      <w:bookmarkStart w:id="1191" w:name="_Toc4450"/>
      <w:bookmarkStart w:id="1192" w:name="_Toc28090"/>
      <w:bookmarkStart w:id="1193" w:name="_Toc8566"/>
      <w:bookmarkStart w:id="1194" w:name="_Toc32721"/>
      <w:bookmarkStart w:id="1195" w:name="_Toc23302"/>
      <w:bookmarkStart w:id="1196" w:name="_Toc27650"/>
      <w:bookmarkStart w:id="1197" w:name="_Toc15295"/>
      <w:bookmarkStart w:id="1198" w:name="_Toc3858"/>
      <w:bookmarkStart w:id="1199" w:name="_Toc28356"/>
      <w:bookmarkStart w:id="1200" w:name="_Toc23055"/>
      <w:bookmarkStart w:id="1201" w:name="_Toc8962"/>
      <w:r>
        <w:rPr>
          <w:rFonts w:hint="eastAsia" w:ascii="黑体" w:hAnsi="黑体" w:eastAsia="黑体" w:cs="黑体"/>
          <w:b/>
          <w:bCs/>
          <w:lang w:val="en-US"/>
        </w:rPr>
        <w:t>毕业生对推荐学校学生去您的工作单位就业情况</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spacing w:line="360" w:lineRule="auto"/>
        <w:ind w:firstLine="480" w:firstLineChars="200"/>
        <w:jc w:val="left"/>
        <w:rPr>
          <w:rFonts w:ascii="宋体" w:hAnsi="宋体" w:cs="宋体"/>
          <w:sz w:val="24"/>
        </w:rPr>
      </w:pPr>
      <w:r>
        <w:rPr>
          <w:rFonts w:hint="eastAsia" w:ascii="宋体" w:hAnsi="宋体" w:cs="宋体"/>
          <w:sz w:val="24"/>
        </w:rPr>
        <w:t>毕业生是否愿意推荐学校学生去自己工作单位的调研数据显示，愿意推荐的（即“非常愿意”和“比较愿意”、“一般”人数比例之和）为93.04%。</w:t>
      </w:r>
    </w:p>
    <w:p>
      <w:pPr>
        <w:spacing w:line="360" w:lineRule="auto"/>
        <w:ind w:firstLine="480" w:firstLineChars="200"/>
        <w:jc w:val="left"/>
        <w:rPr>
          <w:rFonts w:ascii="宋体" w:hAnsi="宋体" w:cs="宋体"/>
          <w:sz w:val="24"/>
        </w:rPr>
      </w:pPr>
      <w:r>
        <w:rPr>
          <w:rFonts w:hint="eastAsia" w:ascii="宋体" w:hAnsi="宋体" w:cs="宋体"/>
          <w:sz w:val="24"/>
        </w:rPr>
        <w:t>其中“非常愿意”占比26.13%，“比较愿意”占比39.45%。</w:t>
      </w:r>
    </w:p>
    <w:p>
      <w:pPr>
        <w:spacing w:line="360" w:lineRule="auto"/>
        <w:ind w:firstLine="480" w:firstLineChars="200"/>
        <w:jc w:val="left"/>
        <w:rPr>
          <w:rFonts w:ascii="宋体" w:hAnsi="宋体" w:cs="宋体"/>
          <w:sz w:val="24"/>
        </w:rPr>
      </w:pPr>
      <w:r>
        <w:rPr>
          <w:rFonts w:hint="eastAsia" w:ascii="宋体" w:hAnsi="宋体" w:cs="宋体"/>
          <w:sz w:val="24"/>
        </w:rPr>
        <w:t>“一般”占比27.46%，“比较不愿意”占比4.06%，“非常不愿意”占比2.90%。（图2-16所示）</w:t>
      </w:r>
    </w:p>
    <w:p>
      <w:pPr>
        <w:spacing w:line="360" w:lineRule="auto"/>
        <w:ind w:firstLine="480" w:firstLineChars="200"/>
        <w:jc w:val="left"/>
        <w:rPr>
          <w:rFonts w:ascii="宋体" w:hAnsi="宋体" w:cs="宋体"/>
          <w:sz w:val="24"/>
        </w:rPr>
      </w:pPr>
    </w:p>
    <w:p>
      <w:pPr>
        <w:spacing w:line="360" w:lineRule="auto"/>
        <w:ind w:firstLine="420" w:firstLineChars="200"/>
        <w:jc w:val="center"/>
        <w:rPr>
          <w:rFonts w:ascii="宋体" w:hAnsi="宋体" w:cs="宋体"/>
          <w:sz w:val="22"/>
          <w:szCs w:val="28"/>
        </w:rPr>
      </w:pPr>
      <w:r>
        <w:drawing>
          <wp:inline distT="0" distB="0" distL="114300" distR="114300">
            <wp:extent cx="4572000" cy="2743200"/>
            <wp:effectExtent l="4445" t="4445" r="14605" b="14605"/>
            <wp:docPr id="5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widowControl/>
        <w:spacing w:line="360" w:lineRule="auto"/>
        <w:ind w:firstLine="400" w:firstLineChars="200"/>
        <w:jc w:val="center"/>
        <w:rPr>
          <w:rFonts w:ascii="微软雅黑" w:hAnsi="微软雅黑" w:eastAsia="微软雅黑" w:cs="微软雅黑"/>
          <w:b/>
          <w:bCs/>
          <w:sz w:val="20"/>
          <w:szCs w:val="20"/>
        </w:rPr>
      </w:pPr>
      <w:r>
        <w:rPr>
          <w:rFonts w:hint="eastAsia" w:ascii="微软雅黑" w:hAnsi="微软雅黑" w:eastAsia="微软雅黑" w:cs="微软雅黑"/>
          <w:b/>
          <w:bCs/>
          <w:sz w:val="20"/>
          <w:szCs w:val="20"/>
        </w:rPr>
        <w:t>图2-16 毕业生对推荐学校学生去您的工作单位就业情况</w:t>
      </w: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widowControl/>
        <w:spacing w:line="360" w:lineRule="auto"/>
        <w:ind w:firstLine="400" w:firstLineChars="200"/>
        <w:jc w:val="center"/>
        <w:rPr>
          <w:rFonts w:ascii="微软雅黑" w:hAnsi="微软雅黑" w:eastAsia="微软雅黑" w:cs="微软雅黑"/>
          <w:b/>
          <w:bCs/>
          <w:sz w:val="20"/>
          <w:szCs w:val="20"/>
        </w:rPr>
      </w:pPr>
    </w:p>
    <w:p>
      <w:pPr>
        <w:spacing w:line="600" w:lineRule="auto"/>
        <w:rPr>
          <w:rFonts w:ascii="黑体" w:hAnsi="黑体" w:eastAsia="黑体" w:cs="黑体"/>
          <w:b/>
          <w:bCs/>
          <w:sz w:val="30"/>
          <w:szCs w:val="30"/>
        </w:rPr>
      </w:pPr>
      <w:r>
        <w:rPr>
          <w:rFonts w:ascii="Times New Roman"/>
          <w:sz w:val="20"/>
        </w:rPr>
        <w:pict>
          <v:shape id="_x0000_s1027" o:spid="_x0000_s1027" o:spt="202" type="#_x0000_t202" style="height:34pt;width:416.05pt;" fillcolor="#990000" filled="t" stroked="f" coordsize="21600,21600">
            <v:path/>
            <v:fill on="t" focussize="0,0"/>
            <v:stroke on="f" weight="0.48pt" joinstyle="miter"/>
            <v:imagedata o:title=""/>
            <o:lock v:ext="edit"/>
            <v:textbox inset="0mm,0mm,0mm,0mm">
              <w:txbxContent>
                <w:p>
                  <w:pPr>
                    <w:spacing w:line="360" w:lineRule="auto"/>
                    <w:jc w:val="center"/>
                    <w:rPr>
                      <w:rFonts w:ascii="黑体" w:eastAsia="黑体"/>
                      <w:b/>
                      <w:color w:val="FFFFFF"/>
                      <w:sz w:val="32"/>
                    </w:rPr>
                  </w:pPr>
                  <w:r>
                    <w:rPr>
                      <w:rFonts w:hint="eastAsia" w:ascii="黑体" w:eastAsia="黑体"/>
                      <w:b/>
                      <w:color w:val="FFFFFF"/>
                      <w:sz w:val="32"/>
                    </w:rPr>
                    <w:t>第三部分  用人单位满意度分析</w:t>
                  </w:r>
                </w:p>
              </w:txbxContent>
            </v:textbox>
            <w10:wrap type="none"/>
            <w10:anchorlock/>
          </v:shape>
        </w:pict>
      </w:r>
    </w:p>
    <w:p>
      <w:pPr>
        <w:spacing w:line="360" w:lineRule="auto"/>
        <w:jc w:val="center"/>
        <w:rPr>
          <w:rFonts w:ascii="宋体" w:hAnsi="宋体" w:cs="宋体"/>
          <w:b/>
          <w:bCs/>
          <w:sz w:val="28"/>
          <w:szCs w:val="28"/>
          <w:lang w:bidi="zh-CN"/>
        </w:rPr>
      </w:pPr>
    </w:p>
    <w:p>
      <w:pPr>
        <w:spacing w:line="600" w:lineRule="auto"/>
        <w:outlineLvl w:val="0"/>
        <w:rPr>
          <w:rFonts w:ascii="黑体" w:hAnsi="黑体" w:eastAsia="黑体" w:cs="黑体"/>
          <w:b/>
          <w:color w:val="000000"/>
          <w:sz w:val="30"/>
          <w:szCs w:val="30"/>
        </w:rPr>
      </w:pPr>
      <w:bookmarkStart w:id="1202" w:name="_Toc28358"/>
      <w:bookmarkStart w:id="1203" w:name="_Toc19240"/>
      <w:bookmarkStart w:id="1204" w:name="_Toc24833"/>
      <w:bookmarkStart w:id="1205" w:name="_Toc25700"/>
      <w:bookmarkStart w:id="1206" w:name="_Toc4481"/>
      <w:bookmarkStart w:id="1207" w:name="_Toc24529"/>
      <w:bookmarkStart w:id="1208" w:name="_Toc6200"/>
      <w:bookmarkStart w:id="1209" w:name="_Toc7089"/>
      <w:bookmarkStart w:id="1210" w:name="_Toc16330"/>
      <w:bookmarkStart w:id="1211" w:name="_Toc21785"/>
      <w:bookmarkStart w:id="1212" w:name="_Toc4895"/>
      <w:bookmarkStart w:id="1213" w:name="_Toc15289"/>
      <w:bookmarkStart w:id="1214" w:name="_Toc19848"/>
      <w:bookmarkStart w:id="1215" w:name="_Toc17140"/>
      <w:bookmarkStart w:id="1216" w:name="_Toc158"/>
      <w:bookmarkStart w:id="1217" w:name="_Toc16404"/>
      <w:bookmarkStart w:id="1218" w:name="_Toc15700"/>
      <w:bookmarkStart w:id="1219" w:name="_Toc19411"/>
      <w:bookmarkStart w:id="1220" w:name="_Toc16121"/>
      <w:bookmarkStart w:id="1221" w:name="_Toc7633"/>
      <w:bookmarkStart w:id="1222" w:name="_Toc10988"/>
      <w:bookmarkStart w:id="1223" w:name="_Toc24711"/>
      <w:bookmarkStart w:id="1224" w:name="_Toc6804"/>
      <w:bookmarkStart w:id="1225" w:name="_Toc32502"/>
      <w:bookmarkStart w:id="1226" w:name="_Toc32699"/>
      <w:bookmarkStart w:id="1227" w:name="_Toc14436"/>
      <w:bookmarkStart w:id="1228" w:name="_Toc30034"/>
      <w:r>
        <w:rPr>
          <w:rFonts w:hint="eastAsia" w:ascii="黑体" w:hAnsi="黑体" w:eastAsia="黑体" w:cs="黑体"/>
          <w:b/>
          <w:color w:val="000000"/>
          <w:sz w:val="30"/>
          <w:szCs w:val="30"/>
        </w:rPr>
        <w:t>一、</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Fonts w:hint="eastAsia" w:ascii="黑体" w:hAnsi="黑体" w:eastAsia="黑体" w:cs="黑体"/>
          <w:b/>
          <w:color w:val="000000"/>
          <w:sz w:val="30"/>
          <w:szCs w:val="30"/>
        </w:rPr>
        <w:t>用人单位对学校毕业生的总体满意度情况</w:t>
      </w:r>
      <w:bookmarkEnd w:id="1223"/>
      <w:bookmarkEnd w:id="1224"/>
      <w:bookmarkEnd w:id="1225"/>
      <w:bookmarkEnd w:id="1226"/>
      <w:bookmarkEnd w:id="1227"/>
      <w:bookmarkEnd w:id="1228"/>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用人单位对学校毕业生的总体满意度（即“非常满意”和“比较满意”、“一般”人数比例之和）为97.52%。</w:t>
      </w:r>
    </w:p>
    <w:p>
      <w:pPr>
        <w:spacing w:line="360" w:lineRule="auto"/>
        <w:ind w:firstLine="480" w:firstLineChars="200"/>
        <w:jc w:val="left"/>
        <w:rPr>
          <w:rFonts w:ascii="宋体" w:hAnsi="宋体" w:cs="宋体"/>
          <w:sz w:val="24"/>
        </w:rPr>
      </w:pPr>
      <w:r>
        <w:rPr>
          <w:rFonts w:hint="eastAsia" w:ascii="宋体" w:hAnsi="宋体" w:cs="宋体"/>
          <w:sz w:val="24"/>
        </w:rPr>
        <w:t>其中“非常满意”占比35.60%，“比较满意”占比44.89%。</w:t>
      </w:r>
    </w:p>
    <w:p>
      <w:pPr>
        <w:spacing w:line="360" w:lineRule="auto"/>
        <w:ind w:firstLine="480" w:firstLineChars="200"/>
        <w:jc w:val="left"/>
        <w:rPr>
          <w:rFonts w:ascii="宋体" w:hAnsi="宋体" w:cs="宋体"/>
          <w:sz w:val="24"/>
        </w:rPr>
      </w:pPr>
      <w:r>
        <w:rPr>
          <w:rFonts w:hint="eastAsia" w:ascii="宋体" w:hAnsi="宋体" w:cs="宋体"/>
          <w:sz w:val="24"/>
        </w:rPr>
        <w:t>“一般”占比17.03%，“比较不满意”占比1.86%，“非常不满意”占比0.62%。（图3-6所示）</w:t>
      </w:r>
    </w:p>
    <w:p>
      <w:pPr>
        <w:spacing w:line="360" w:lineRule="auto"/>
        <w:ind w:firstLine="480" w:firstLineChars="200"/>
        <w:jc w:val="left"/>
        <w:rPr>
          <w:rFonts w:ascii="宋体" w:hAnsi="宋体" w:cs="宋体"/>
          <w:sz w:val="24"/>
        </w:rPr>
      </w:pPr>
    </w:p>
    <w:p>
      <w:pPr>
        <w:spacing w:line="360" w:lineRule="auto"/>
        <w:ind w:firstLine="420" w:firstLineChars="200"/>
        <w:jc w:val="left"/>
      </w:pPr>
      <w:r>
        <w:drawing>
          <wp:inline distT="0" distB="0" distL="114300" distR="114300">
            <wp:extent cx="4848225" cy="3128010"/>
            <wp:effectExtent l="4445" t="4445" r="5080" b="10795"/>
            <wp:docPr id="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图3-6 用人单位对学校毕业生的总体满意度情况</w:t>
      </w:r>
    </w:p>
    <w:p>
      <w:pPr>
        <w:spacing w:line="600" w:lineRule="auto"/>
        <w:outlineLvl w:val="0"/>
        <w:rPr>
          <w:rFonts w:ascii="黑体" w:hAnsi="黑体" w:eastAsia="黑体" w:cs="黑体"/>
          <w:b/>
          <w:color w:val="000000"/>
          <w:sz w:val="30"/>
          <w:szCs w:val="30"/>
        </w:rPr>
      </w:pPr>
      <w:bookmarkStart w:id="1229" w:name="_Toc21775"/>
      <w:bookmarkStart w:id="1230" w:name="_Toc27362"/>
      <w:bookmarkStart w:id="1231" w:name="_Toc23014"/>
      <w:bookmarkStart w:id="1232" w:name="_Toc13448"/>
      <w:bookmarkStart w:id="1233" w:name="_Toc28665"/>
      <w:bookmarkStart w:id="1234" w:name="_Toc16438"/>
      <w:bookmarkStart w:id="1235" w:name="_Toc15040"/>
      <w:bookmarkStart w:id="1236" w:name="_Toc31586"/>
      <w:bookmarkStart w:id="1237" w:name="_Toc11921"/>
      <w:bookmarkStart w:id="1238" w:name="_Toc6421"/>
      <w:bookmarkStart w:id="1239" w:name="_Toc12697"/>
      <w:bookmarkStart w:id="1240" w:name="_Toc18527"/>
      <w:bookmarkStart w:id="1241" w:name="_Toc22469"/>
      <w:bookmarkStart w:id="1242" w:name="_Toc5016"/>
      <w:bookmarkStart w:id="1243" w:name="_Toc24476"/>
      <w:bookmarkStart w:id="1244" w:name="_Toc2719"/>
      <w:bookmarkStart w:id="1245" w:name="_Toc10649"/>
      <w:bookmarkStart w:id="1246" w:name="_Toc21114"/>
      <w:bookmarkStart w:id="1247" w:name="_Toc1883"/>
      <w:bookmarkStart w:id="1248" w:name="_Toc30100"/>
      <w:bookmarkStart w:id="1249" w:name="_Toc29348"/>
      <w:bookmarkStart w:id="1250" w:name="_Toc14277"/>
      <w:bookmarkStart w:id="1251" w:name="_Toc23727"/>
      <w:bookmarkStart w:id="1252" w:name="_Toc1325"/>
      <w:bookmarkStart w:id="1253" w:name="_Toc8285"/>
      <w:bookmarkStart w:id="1254" w:name="_Toc3276"/>
      <w:r>
        <w:rPr>
          <w:rFonts w:hint="eastAsia" w:ascii="黑体" w:hAnsi="黑体" w:eastAsia="黑体" w:cs="黑体"/>
          <w:b/>
          <w:color w:val="000000"/>
          <w:sz w:val="30"/>
          <w:szCs w:val="30"/>
        </w:rPr>
        <w:t>三、用人单位对学校毕业生竞争优势评价情况</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spacing w:line="360" w:lineRule="auto"/>
        <w:ind w:firstLine="480" w:firstLineChars="200"/>
        <w:jc w:val="left"/>
        <w:rPr>
          <w:rFonts w:ascii="宋体" w:hAnsi="宋体" w:cs="宋体"/>
          <w:sz w:val="24"/>
        </w:rPr>
      </w:pPr>
      <w:bookmarkStart w:id="1255" w:name="_Toc7703"/>
      <w:bookmarkStart w:id="1256" w:name="_Toc15860"/>
      <w:bookmarkStart w:id="1257" w:name="_Toc725"/>
      <w:bookmarkStart w:id="1258" w:name="_Toc3866"/>
      <w:bookmarkStart w:id="1259" w:name="_Toc12773"/>
      <w:r>
        <w:rPr>
          <w:rFonts w:hint="eastAsia" w:ascii="宋体" w:hAnsi="宋体" w:cs="宋体"/>
          <w:sz w:val="24"/>
        </w:rPr>
        <w:t>用人单位对学校毕业生竞争优势评价情况主要参考：“竞争优势中学习能力的评价”、“竞争优势中专业技能和能力的评价”、“竞争优势中适应能力的评价”、“竞争优势中敬业精神的评价”、“竞争优势中团队合作能力的评价”、“竞争优势中沟通能力的评价”、“竞争优势中动手实践能力的评价”、“竞争优势中抗压能力的评价”、“竞争优势中计算机应用能力的评价”、“竞争优势中创新能力的评价”、“竞争优势中英语能力的评价”等11个方面。</w:t>
      </w:r>
    </w:p>
    <w:p>
      <w:pPr>
        <w:pStyle w:val="2"/>
        <w:numPr>
          <w:ilvl w:val="0"/>
          <w:numId w:val="14"/>
        </w:numPr>
        <w:spacing w:line="600" w:lineRule="auto"/>
        <w:outlineLvl w:val="1"/>
        <w:rPr>
          <w:rFonts w:ascii="黑体" w:hAnsi="黑体" w:eastAsia="黑体" w:cs="黑体"/>
          <w:b/>
          <w:bCs/>
          <w:lang w:val="en-US"/>
        </w:rPr>
      </w:pPr>
      <w:bookmarkStart w:id="1260" w:name="_Toc17631"/>
      <w:bookmarkStart w:id="1261" w:name="_Toc13389"/>
      <w:bookmarkStart w:id="1262" w:name="_Toc29266"/>
      <w:bookmarkStart w:id="1263" w:name="_Toc17236"/>
      <w:bookmarkStart w:id="1264" w:name="_Toc2527"/>
      <w:bookmarkStart w:id="1265" w:name="_Toc23227"/>
      <w:r>
        <w:rPr>
          <w:rFonts w:hint="eastAsia" w:ascii="黑体" w:hAnsi="黑体" w:eastAsia="黑体" w:cs="黑体"/>
          <w:b/>
          <w:bCs/>
          <w:lang w:val="en-US"/>
        </w:rPr>
        <w:t>用人单位对学校毕业生学习能力的满意度</w:t>
      </w:r>
      <w:bookmarkEnd w:id="1260"/>
      <w:bookmarkEnd w:id="1261"/>
      <w:bookmarkEnd w:id="1262"/>
      <w:bookmarkEnd w:id="1263"/>
      <w:bookmarkEnd w:id="1264"/>
      <w:bookmarkEnd w:id="1265"/>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用人单位对学校毕业生竞争优势中学习能力的满意度（即“非常满意”和“比较满意”、“一般”人数比例之和）为98.90%。</w:t>
      </w:r>
      <w:bookmarkEnd w:id="1255"/>
      <w:bookmarkEnd w:id="1256"/>
      <w:bookmarkEnd w:id="1257"/>
      <w:bookmarkEnd w:id="1258"/>
      <w:bookmarkEnd w:id="1259"/>
    </w:p>
    <w:p>
      <w:pPr>
        <w:spacing w:line="360" w:lineRule="auto"/>
        <w:ind w:firstLine="480" w:firstLineChars="200"/>
        <w:jc w:val="left"/>
        <w:rPr>
          <w:rFonts w:ascii="宋体" w:hAnsi="宋体" w:cs="宋体"/>
          <w:sz w:val="24"/>
        </w:rPr>
      </w:pPr>
      <w:bookmarkStart w:id="1266" w:name="_Toc400"/>
      <w:bookmarkStart w:id="1267" w:name="_Toc27205"/>
      <w:bookmarkStart w:id="1268" w:name="_Toc3960"/>
      <w:bookmarkStart w:id="1269" w:name="_Toc8654"/>
      <w:bookmarkStart w:id="1270" w:name="_Toc32280"/>
      <w:r>
        <w:rPr>
          <w:rFonts w:hint="eastAsia" w:ascii="宋体" w:hAnsi="宋体" w:cs="宋体"/>
          <w:sz w:val="24"/>
        </w:rPr>
        <w:t>其中“非常满意”占比32.46%，“比较满意”占比52.16%。</w:t>
      </w:r>
    </w:p>
    <w:p>
      <w:pPr>
        <w:spacing w:line="360" w:lineRule="auto"/>
        <w:ind w:firstLine="480" w:firstLineChars="200"/>
        <w:jc w:val="left"/>
        <w:rPr>
          <w:rFonts w:ascii="宋体" w:hAnsi="宋体" w:cs="宋体"/>
          <w:sz w:val="24"/>
        </w:rPr>
      </w:pPr>
      <w:r>
        <w:rPr>
          <w:rFonts w:hint="eastAsia" w:ascii="宋体" w:hAnsi="宋体" w:cs="宋体"/>
          <w:sz w:val="24"/>
        </w:rPr>
        <w:t>“一般”占比14.28%，“比较不满意”占比0.62%，“非常不满意”占比0.48%。（图3-7所示）</w:t>
      </w:r>
      <w:bookmarkEnd w:id="1266"/>
      <w:bookmarkEnd w:id="1267"/>
      <w:bookmarkEnd w:id="1268"/>
      <w:bookmarkEnd w:id="1269"/>
      <w:bookmarkEnd w:id="1270"/>
    </w:p>
    <w:p>
      <w:pPr>
        <w:spacing w:line="360" w:lineRule="auto"/>
        <w:ind w:firstLine="480" w:firstLineChars="200"/>
        <w:jc w:val="left"/>
        <w:rPr>
          <w:rFonts w:ascii="宋体" w:hAnsi="宋体" w:cs="宋体"/>
          <w:sz w:val="24"/>
        </w:rPr>
      </w:pPr>
    </w:p>
    <w:p>
      <w:pPr>
        <w:spacing w:line="360" w:lineRule="auto"/>
        <w:jc w:val="center"/>
        <w:rPr>
          <w:rFonts w:ascii="宋体" w:hAnsi="宋体" w:cs="宋体"/>
          <w:sz w:val="24"/>
        </w:rPr>
      </w:pPr>
      <w:r>
        <w:drawing>
          <wp:inline distT="0" distB="0" distL="114300" distR="114300">
            <wp:extent cx="4713605" cy="3143885"/>
            <wp:effectExtent l="4445" t="4445" r="6350" b="13970"/>
            <wp:docPr id="2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图3-7 用人单位对学校毕业生学习能力的满意度</w:t>
      </w:r>
    </w:p>
    <w:p>
      <w:pPr>
        <w:pStyle w:val="2"/>
        <w:numPr>
          <w:ilvl w:val="0"/>
          <w:numId w:val="14"/>
        </w:numPr>
        <w:spacing w:line="600" w:lineRule="auto"/>
        <w:outlineLvl w:val="1"/>
        <w:rPr>
          <w:rFonts w:ascii="黑体" w:hAnsi="黑体" w:eastAsia="黑体" w:cs="黑体"/>
          <w:b/>
          <w:bCs/>
          <w:lang w:val="en-US"/>
        </w:rPr>
      </w:pPr>
      <w:bookmarkStart w:id="1271" w:name="_Toc26694"/>
      <w:bookmarkStart w:id="1272" w:name="_Toc1643"/>
      <w:bookmarkStart w:id="1273" w:name="_Toc26754"/>
      <w:bookmarkStart w:id="1274" w:name="_Toc1854"/>
      <w:bookmarkStart w:id="1275" w:name="_Toc12681"/>
      <w:bookmarkStart w:id="1276" w:name="_Toc15727"/>
      <w:r>
        <w:rPr>
          <w:rFonts w:hint="eastAsia" w:ascii="黑体" w:hAnsi="黑体" w:eastAsia="黑体" w:cs="黑体"/>
          <w:b/>
          <w:bCs/>
          <w:lang w:val="en-US"/>
        </w:rPr>
        <w:t>用人单位对学校毕业生专业技能和能力的满意度</w:t>
      </w:r>
      <w:bookmarkEnd w:id="1271"/>
      <w:bookmarkEnd w:id="1272"/>
      <w:bookmarkEnd w:id="1273"/>
      <w:bookmarkEnd w:id="1274"/>
      <w:bookmarkEnd w:id="1275"/>
      <w:bookmarkEnd w:id="1276"/>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用人单位对学校毕业生竞争优势中专业技能和能力的满意度（即“非常满意”和“比较满意”、“一般”人数比例之和）为97.37%。</w:t>
      </w:r>
    </w:p>
    <w:p>
      <w:pPr>
        <w:widowControl/>
        <w:spacing w:line="360" w:lineRule="auto"/>
        <w:ind w:firstLine="480" w:firstLineChars="200"/>
        <w:jc w:val="left"/>
        <w:rPr>
          <w:rFonts w:ascii="宋体" w:hAnsi="宋体" w:cs="宋体"/>
          <w:sz w:val="24"/>
        </w:rPr>
      </w:pPr>
      <w:r>
        <w:rPr>
          <w:rFonts w:hint="eastAsia" w:ascii="宋体" w:hAnsi="宋体" w:cs="宋体"/>
          <w:sz w:val="24"/>
        </w:rPr>
        <w:t>其中“非常满意”占比28.16%，“比较满意”占比56.21%。</w:t>
      </w:r>
    </w:p>
    <w:p>
      <w:pPr>
        <w:widowControl/>
        <w:spacing w:line="360" w:lineRule="auto"/>
        <w:ind w:firstLine="480" w:firstLineChars="200"/>
        <w:jc w:val="left"/>
        <w:rPr>
          <w:rFonts w:ascii="微软雅黑" w:hAnsi="微软雅黑" w:eastAsia="微软雅黑" w:cs="微软雅黑"/>
          <w:b/>
          <w:bCs/>
          <w:sz w:val="20"/>
          <w:szCs w:val="20"/>
          <w:lang w:bidi="zh-CN"/>
        </w:rPr>
      </w:pPr>
      <w:r>
        <w:rPr>
          <w:rFonts w:hint="eastAsia" w:ascii="宋体" w:hAnsi="宋体" w:cs="宋体"/>
          <w:sz w:val="24"/>
        </w:rPr>
        <w:t>“一般”占比13.00%，“比较不满意”占比1.25%，“非常不满意”占比1.38%。（图3-8所示）</w:t>
      </w:r>
    </w:p>
    <w:p>
      <w:pPr>
        <w:spacing w:line="360" w:lineRule="auto"/>
        <w:ind w:firstLine="480" w:firstLineChars="200"/>
        <w:jc w:val="left"/>
        <w:rPr>
          <w:rFonts w:ascii="宋体" w:hAnsi="宋体" w:cs="宋体"/>
          <w:sz w:val="24"/>
        </w:rPr>
      </w:pPr>
    </w:p>
    <w:p>
      <w:pPr>
        <w:jc w:val="center"/>
        <w:rPr>
          <w:rFonts w:ascii="宋体" w:hAnsi="宋体" w:cs="宋体"/>
          <w:sz w:val="24"/>
        </w:rPr>
      </w:pPr>
      <w:r>
        <w:drawing>
          <wp:inline distT="0" distB="0" distL="114300" distR="114300">
            <wp:extent cx="4572000" cy="2743200"/>
            <wp:effectExtent l="4445" t="4445" r="14605" b="14605"/>
            <wp:docPr id="2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图3-8 用人单位对学校毕业生专业技能和能力的满意度</w:t>
      </w:r>
    </w:p>
    <w:p>
      <w:pPr>
        <w:pStyle w:val="2"/>
        <w:numPr>
          <w:ilvl w:val="0"/>
          <w:numId w:val="14"/>
        </w:numPr>
        <w:spacing w:line="600" w:lineRule="auto"/>
        <w:outlineLvl w:val="1"/>
        <w:rPr>
          <w:rFonts w:ascii="黑体" w:hAnsi="黑体" w:eastAsia="黑体" w:cs="黑体"/>
          <w:b/>
          <w:bCs/>
          <w:lang w:val="en-US"/>
        </w:rPr>
      </w:pPr>
      <w:bookmarkStart w:id="1277" w:name="_Toc25390"/>
      <w:bookmarkStart w:id="1278" w:name="_Toc23502"/>
      <w:bookmarkStart w:id="1279" w:name="_Toc25481"/>
      <w:bookmarkStart w:id="1280" w:name="_Toc26254"/>
      <w:bookmarkStart w:id="1281" w:name="_Toc13325"/>
      <w:bookmarkStart w:id="1282" w:name="_Toc7206"/>
      <w:r>
        <w:rPr>
          <w:rFonts w:hint="eastAsia" w:ascii="黑体" w:hAnsi="黑体" w:eastAsia="黑体" w:cs="黑体"/>
          <w:b/>
          <w:bCs/>
          <w:lang w:val="en-US"/>
        </w:rPr>
        <w:t>用人单位对学校毕业生适应能力的满意度</w:t>
      </w:r>
      <w:bookmarkEnd w:id="1277"/>
      <w:bookmarkEnd w:id="1278"/>
      <w:bookmarkEnd w:id="1279"/>
      <w:bookmarkEnd w:id="1280"/>
      <w:bookmarkEnd w:id="1281"/>
      <w:bookmarkEnd w:id="1282"/>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用人单位对学校毕业生竞争优势中适应能力的满意度（即“非常满意”和“比较满意”、“一般”人数比例之和）为96.03%。</w:t>
      </w:r>
    </w:p>
    <w:p>
      <w:pPr>
        <w:spacing w:line="360" w:lineRule="auto"/>
        <w:ind w:firstLine="480" w:firstLineChars="200"/>
        <w:jc w:val="left"/>
        <w:rPr>
          <w:rFonts w:ascii="宋体" w:hAnsi="宋体" w:cs="宋体"/>
          <w:sz w:val="24"/>
        </w:rPr>
      </w:pPr>
    </w:p>
    <w:p>
      <w:pPr>
        <w:jc w:val="center"/>
        <w:rPr>
          <w:rFonts w:ascii="宋体" w:hAnsi="宋体" w:cs="宋体"/>
          <w:sz w:val="24"/>
        </w:rPr>
      </w:pPr>
      <w:r>
        <w:drawing>
          <wp:inline distT="0" distB="0" distL="114300" distR="114300">
            <wp:extent cx="4572000" cy="2919730"/>
            <wp:effectExtent l="4445" t="4445" r="14605" b="9525"/>
            <wp:docPr id="3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图3-9 用人单位对学校毕业生适应能力的满意度</w:t>
      </w:r>
    </w:p>
    <w:p>
      <w:pPr>
        <w:spacing w:line="360" w:lineRule="auto"/>
        <w:ind w:firstLine="480" w:firstLineChars="200"/>
        <w:jc w:val="left"/>
        <w:rPr>
          <w:rFonts w:ascii="宋体" w:hAnsi="宋体" w:cs="宋体"/>
          <w:sz w:val="24"/>
        </w:rPr>
      </w:pPr>
      <w:r>
        <w:rPr>
          <w:rFonts w:hint="eastAsia" w:ascii="宋体" w:hAnsi="宋体" w:cs="宋体"/>
          <w:sz w:val="24"/>
        </w:rPr>
        <w:t>其中“非常满意”占比32.56%，“比较满意”占比50.42%，</w:t>
      </w:r>
    </w:p>
    <w:p>
      <w:pPr>
        <w:spacing w:line="360" w:lineRule="auto"/>
        <w:ind w:firstLine="480" w:firstLineChars="200"/>
        <w:jc w:val="left"/>
        <w:rPr>
          <w:rFonts w:ascii="微软雅黑" w:hAnsi="微软雅黑" w:eastAsia="微软雅黑" w:cs="微软雅黑"/>
          <w:b/>
          <w:bCs/>
          <w:sz w:val="20"/>
          <w:szCs w:val="20"/>
          <w:lang w:bidi="zh-CN"/>
        </w:rPr>
      </w:pPr>
      <w:r>
        <w:rPr>
          <w:rFonts w:hint="eastAsia" w:ascii="宋体" w:hAnsi="宋体" w:cs="宋体"/>
          <w:sz w:val="24"/>
        </w:rPr>
        <w:t>“一般”占比13.05%，“比较不满意”占比1.98%，“非常不满意”占比1.99%。（图3-9所示）</w:t>
      </w:r>
    </w:p>
    <w:p>
      <w:pPr>
        <w:pStyle w:val="2"/>
        <w:numPr>
          <w:ilvl w:val="0"/>
          <w:numId w:val="14"/>
        </w:numPr>
        <w:spacing w:line="600" w:lineRule="auto"/>
        <w:outlineLvl w:val="1"/>
        <w:rPr>
          <w:rFonts w:ascii="黑体" w:hAnsi="黑体" w:eastAsia="黑体" w:cs="黑体"/>
          <w:b/>
          <w:bCs/>
          <w:lang w:val="en-US"/>
        </w:rPr>
      </w:pPr>
      <w:bookmarkStart w:id="1283" w:name="_Toc30945"/>
      <w:bookmarkStart w:id="1284" w:name="_Toc969"/>
      <w:bookmarkStart w:id="1285" w:name="_Toc32059"/>
      <w:bookmarkStart w:id="1286" w:name="_Toc6338"/>
      <w:bookmarkStart w:id="1287" w:name="_Toc24352"/>
      <w:bookmarkStart w:id="1288" w:name="_Toc25501"/>
      <w:r>
        <w:rPr>
          <w:rFonts w:hint="eastAsia" w:ascii="黑体" w:hAnsi="黑体" w:eastAsia="黑体" w:cs="黑体"/>
          <w:b/>
          <w:bCs/>
          <w:lang w:val="en-US"/>
        </w:rPr>
        <w:t>用人单位对学校毕业生敬业精神的满意度</w:t>
      </w:r>
      <w:bookmarkEnd w:id="1283"/>
      <w:bookmarkEnd w:id="1284"/>
      <w:bookmarkEnd w:id="1285"/>
      <w:bookmarkEnd w:id="1286"/>
      <w:bookmarkEnd w:id="1287"/>
      <w:bookmarkEnd w:id="1288"/>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用人单位对学校毕业生竞争优势中敬业精神的满意度（即“非常满意”和“比较满意”、“一般”人数比例之和）为97.72%。</w:t>
      </w:r>
    </w:p>
    <w:p>
      <w:pPr>
        <w:spacing w:line="360" w:lineRule="auto"/>
        <w:ind w:firstLine="480" w:firstLineChars="200"/>
        <w:jc w:val="left"/>
        <w:rPr>
          <w:rFonts w:ascii="宋体" w:hAnsi="宋体" w:cs="宋体"/>
          <w:sz w:val="24"/>
        </w:rPr>
      </w:pPr>
      <w:r>
        <w:rPr>
          <w:rFonts w:hint="eastAsia" w:ascii="宋体" w:hAnsi="宋体" w:cs="宋体"/>
          <w:sz w:val="24"/>
        </w:rPr>
        <w:t>其中“非常满意”占比32.03%，“比较满意”占比46.23%。</w:t>
      </w:r>
    </w:p>
    <w:p>
      <w:pPr>
        <w:spacing w:line="360" w:lineRule="auto"/>
        <w:ind w:firstLine="480" w:firstLineChars="200"/>
        <w:jc w:val="left"/>
        <w:rPr>
          <w:rFonts w:ascii="宋体" w:hAnsi="宋体" w:cs="宋体"/>
          <w:sz w:val="24"/>
        </w:rPr>
      </w:pPr>
      <w:r>
        <w:rPr>
          <w:rFonts w:hint="eastAsia" w:ascii="宋体" w:hAnsi="宋体" w:cs="宋体"/>
          <w:sz w:val="24"/>
        </w:rPr>
        <w:t>“一般”占比19.46%，“比较不满意”占比1.53%，“非常不满意”占比0.75%。（图3-10所示）</w:t>
      </w:r>
    </w:p>
    <w:p>
      <w:pPr>
        <w:spacing w:line="360" w:lineRule="auto"/>
        <w:ind w:firstLine="480" w:firstLineChars="200"/>
        <w:jc w:val="left"/>
        <w:rPr>
          <w:rFonts w:ascii="宋体" w:hAnsi="宋体" w:cs="宋体"/>
          <w:sz w:val="24"/>
        </w:rPr>
      </w:pPr>
    </w:p>
    <w:p>
      <w:pPr>
        <w:widowControl/>
        <w:spacing w:line="360" w:lineRule="auto"/>
        <w:ind w:firstLine="420" w:firstLineChars="200"/>
        <w:jc w:val="center"/>
      </w:pPr>
      <w:r>
        <w:drawing>
          <wp:inline distT="0" distB="0" distL="114300" distR="114300">
            <wp:extent cx="4572000" cy="2921000"/>
            <wp:effectExtent l="4445" t="4445" r="14605" b="8255"/>
            <wp:docPr id="5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图3-10 用人单位对学校毕业生敬业精神的满意度</w:t>
      </w:r>
    </w:p>
    <w:p>
      <w:pPr>
        <w:pStyle w:val="2"/>
        <w:numPr>
          <w:ilvl w:val="0"/>
          <w:numId w:val="14"/>
        </w:numPr>
        <w:spacing w:line="600" w:lineRule="auto"/>
        <w:outlineLvl w:val="1"/>
        <w:rPr>
          <w:rFonts w:ascii="黑体" w:hAnsi="黑体" w:eastAsia="黑体" w:cs="黑体"/>
          <w:b/>
          <w:bCs/>
          <w:lang w:val="en-US"/>
        </w:rPr>
      </w:pPr>
      <w:bookmarkStart w:id="1289" w:name="_Toc17216"/>
      <w:bookmarkStart w:id="1290" w:name="_Toc11991"/>
      <w:bookmarkStart w:id="1291" w:name="_Toc20596"/>
      <w:bookmarkStart w:id="1292" w:name="_Toc838"/>
      <w:bookmarkStart w:id="1293" w:name="_Toc8009"/>
      <w:bookmarkStart w:id="1294" w:name="_Toc11180"/>
      <w:r>
        <w:rPr>
          <w:rFonts w:hint="eastAsia" w:ascii="黑体" w:hAnsi="黑体" w:eastAsia="黑体" w:cs="黑体"/>
          <w:b/>
          <w:bCs/>
          <w:lang w:val="en-US"/>
        </w:rPr>
        <w:t>用人单位对学校毕业生团队合作能力的满意度</w:t>
      </w:r>
      <w:bookmarkEnd w:id="1289"/>
      <w:bookmarkEnd w:id="1290"/>
      <w:bookmarkEnd w:id="1291"/>
      <w:bookmarkEnd w:id="1292"/>
      <w:bookmarkEnd w:id="1293"/>
      <w:bookmarkEnd w:id="1294"/>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用人单位对学校毕业生竞争优势中团队合作能力的满意度（即“非常满意”和“比较满意”、“一般”人数比例之和）为96.97%。</w:t>
      </w:r>
    </w:p>
    <w:p>
      <w:pPr>
        <w:widowControl/>
        <w:spacing w:line="360" w:lineRule="auto"/>
        <w:ind w:firstLine="480" w:firstLineChars="200"/>
        <w:jc w:val="left"/>
        <w:rPr>
          <w:rFonts w:ascii="宋体" w:hAnsi="宋体" w:cs="宋体"/>
          <w:sz w:val="24"/>
        </w:rPr>
      </w:pPr>
      <w:r>
        <w:rPr>
          <w:rFonts w:hint="eastAsia" w:ascii="宋体" w:hAnsi="宋体" w:cs="宋体"/>
          <w:sz w:val="24"/>
        </w:rPr>
        <w:t>其中“非常满意”占比30.96%，“比较满意”占比52.35%。</w:t>
      </w:r>
    </w:p>
    <w:p>
      <w:pPr>
        <w:widowControl/>
        <w:spacing w:line="360" w:lineRule="auto"/>
        <w:ind w:firstLine="480" w:firstLineChars="200"/>
        <w:jc w:val="left"/>
        <w:rPr>
          <w:rFonts w:ascii="宋体" w:hAnsi="宋体" w:cs="宋体"/>
          <w:sz w:val="24"/>
        </w:rPr>
      </w:pPr>
      <w:r>
        <w:rPr>
          <w:rFonts w:hint="eastAsia" w:ascii="宋体" w:hAnsi="宋体" w:cs="宋体"/>
          <w:sz w:val="24"/>
        </w:rPr>
        <w:t>“一般”占比13.66%，“比较不满意”占比1.42%，“非常不满意”占比1.61%。（图3-11所示）</w:t>
      </w:r>
    </w:p>
    <w:p>
      <w:pPr>
        <w:spacing w:line="460" w:lineRule="exact"/>
        <w:jc w:val="left"/>
        <w:rPr>
          <w:rFonts w:ascii="宋体" w:hAnsi="宋体" w:cs="宋体"/>
          <w:b/>
          <w:bCs/>
          <w:sz w:val="28"/>
          <w:szCs w:val="28"/>
          <w:lang w:bidi="zh-CN"/>
        </w:rPr>
      </w:pPr>
    </w:p>
    <w:p>
      <w:pPr>
        <w:widowControl/>
        <w:spacing w:line="360" w:lineRule="auto"/>
        <w:ind w:firstLine="420" w:firstLineChars="200"/>
        <w:jc w:val="center"/>
      </w:pPr>
      <w:r>
        <w:drawing>
          <wp:inline distT="0" distB="0" distL="114300" distR="114300">
            <wp:extent cx="4572000" cy="2743200"/>
            <wp:effectExtent l="4445" t="4445" r="14605" b="14605"/>
            <wp:docPr id="5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图3-11 用人单位对学校毕业生团队合作能力的满意度</w:t>
      </w:r>
    </w:p>
    <w:p>
      <w:pPr>
        <w:pStyle w:val="2"/>
        <w:numPr>
          <w:ilvl w:val="0"/>
          <w:numId w:val="14"/>
        </w:numPr>
        <w:spacing w:line="600" w:lineRule="auto"/>
        <w:outlineLvl w:val="1"/>
        <w:rPr>
          <w:rFonts w:ascii="黑体" w:hAnsi="黑体" w:eastAsia="黑体" w:cs="黑体"/>
          <w:b/>
          <w:bCs/>
          <w:lang w:val="en-US"/>
        </w:rPr>
      </w:pPr>
      <w:bookmarkStart w:id="1295" w:name="_Toc23624"/>
      <w:bookmarkStart w:id="1296" w:name="_Toc16765"/>
      <w:bookmarkStart w:id="1297" w:name="_Toc4573"/>
      <w:bookmarkStart w:id="1298" w:name="_Toc31373"/>
      <w:bookmarkStart w:id="1299" w:name="_Toc24587"/>
      <w:bookmarkStart w:id="1300" w:name="_Toc9519"/>
      <w:r>
        <w:rPr>
          <w:rFonts w:hint="eastAsia" w:ascii="黑体" w:hAnsi="黑体" w:eastAsia="黑体" w:cs="黑体"/>
          <w:b/>
          <w:bCs/>
          <w:lang w:val="en-US"/>
        </w:rPr>
        <w:t>用人单位对学校毕业生沟通能力的满意度</w:t>
      </w:r>
      <w:bookmarkEnd w:id="1295"/>
      <w:bookmarkEnd w:id="1296"/>
      <w:bookmarkEnd w:id="1297"/>
      <w:bookmarkEnd w:id="1298"/>
      <w:bookmarkEnd w:id="1299"/>
      <w:bookmarkEnd w:id="1300"/>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用人单位对学校毕业生竞争优势中沟通能力的满意度（即“非常满意”和“比较满意”、“一般”人数比例之和）为98.27%。</w:t>
      </w:r>
    </w:p>
    <w:p>
      <w:pPr>
        <w:spacing w:line="360" w:lineRule="auto"/>
        <w:ind w:firstLine="480" w:firstLineChars="200"/>
        <w:jc w:val="left"/>
        <w:rPr>
          <w:rFonts w:ascii="宋体" w:hAnsi="宋体" w:cs="宋体"/>
          <w:sz w:val="24"/>
        </w:rPr>
      </w:pPr>
      <w:r>
        <w:rPr>
          <w:rFonts w:hint="eastAsia" w:ascii="宋体" w:hAnsi="宋体" w:cs="宋体"/>
          <w:sz w:val="24"/>
        </w:rPr>
        <w:t>其中“非常满意”占比32.02%，“比较满意”占比53.16%。</w:t>
      </w:r>
    </w:p>
    <w:p>
      <w:pPr>
        <w:spacing w:line="360" w:lineRule="auto"/>
        <w:ind w:firstLine="480" w:firstLineChars="200"/>
        <w:jc w:val="left"/>
        <w:rPr>
          <w:rFonts w:ascii="宋体" w:hAnsi="宋体" w:cs="宋体"/>
          <w:b/>
          <w:bCs/>
          <w:sz w:val="28"/>
          <w:szCs w:val="28"/>
          <w:lang w:bidi="zh-CN"/>
        </w:rPr>
      </w:pPr>
      <w:r>
        <w:rPr>
          <w:rFonts w:hint="eastAsia" w:ascii="宋体" w:hAnsi="宋体" w:cs="宋体"/>
          <w:sz w:val="24"/>
        </w:rPr>
        <w:t>“一般”占比13.09%，“比较不满意”占比1.22%，“非常不满意”占比0.51%。（图3-12所示）</w:t>
      </w:r>
    </w:p>
    <w:p>
      <w:pPr>
        <w:widowControl/>
        <w:spacing w:line="360" w:lineRule="auto"/>
        <w:ind w:firstLine="420" w:firstLineChars="200"/>
        <w:jc w:val="center"/>
      </w:pPr>
      <w:r>
        <w:drawing>
          <wp:inline distT="0" distB="0" distL="114300" distR="114300">
            <wp:extent cx="4572000" cy="3178175"/>
            <wp:effectExtent l="4445" t="4445" r="14605" b="17780"/>
            <wp:docPr id="5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图3-12 用人单位对学校毕业生沟通能力的满意度</w:t>
      </w:r>
    </w:p>
    <w:p>
      <w:pPr>
        <w:pStyle w:val="2"/>
        <w:numPr>
          <w:ilvl w:val="0"/>
          <w:numId w:val="14"/>
        </w:numPr>
        <w:spacing w:line="600" w:lineRule="auto"/>
        <w:outlineLvl w:val="1"/>
        <w:rPr>
          <w:rFonts w:ascii="黑体" w:hAnsi="黑体" w:eastAsia="黑体" w:cs="黑体"/>
          <w:b/>
          <w:bCs/>
          <w:lang w:val="en-US"/>
        </w:rPr>
      </w:pPr>
      <w:bookmarkStart w:id="1301" w:name="_Toc19206"/>
      <w:bookmarkStart w:id="1302" w:name="_Toc29050"/>
      <w:bookmarkStart w:id="1303" w:name="_Toc8702"/>
      <w:bookmarkStart w:id="1304" w:name="_Toc22792"/>
      <w:bookmarkStart w:id="1305" w:name="_Toc225"/>
      <w:bookmarkStart w:id="1306" w:name="_Toc12216"/>
      <w:bookmarkStart w:id="1367" w:name="_GoBack"/>
      <w:bookmarkEnd w:id="1367"/>
      <w:r>
        <w:rPr>
          <w:rFonts w:hint="eastAsia" w:ascii="黑体" w:hAnsi="黑体" w:eastAsia="黑体" w:cs="黑体"/>
          <w:b/>
          <w:bCs/>
          <w:lang w:val="en-US"/>
        </w:rPr>
        <w:t>用人单位对学校毕业生动手实践能力的满意度</w:t>
      </w:r>
      <w:bookmarkEnd w:id="1301"/>
      <w:bookmarkEnd w:id="1302"/>
      <w:bookmarkEnd w:id="1303"/>
      <w:bookmarkEnd w:id="1304"/>
      <w:bookmarkEnd w:id="1305"/>
      <w:bookmarkEnd w:id="1306"/>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用人单位对学校毕业生竞争优势中动手实践能力的满意度（即“非常满意”和“比较满意”、“一般”人数比例之和）为97.40%。</w:t>
      </w:r>
    </w:p>
    <w:p>
      <w:pPr>
        <w:spacing w:line="360" w:lineRule="auto"/>
        <w:ind w:firstLine="480" w:firstLineChars="200"/>
        <w:jc w:val="left"/>
        <w:rPr>
          <w:rFonts w:ascii="宋体" w:hAnsi="宋体" w:cs="宋体"/>
          <w:sz w:val="24"/>
        </w:rPr>
      </w:pPr>
      <w:r>
        <w:rPr>
          <w:rFonts w:hint="eastAsia" w:ascii="宋体" w:hAnsi="宋体" w:cs="宋体"/>
          <w:sz w:val="24"/>
        </w:rPr>
        <w:t>其中“非常满意”占比29.16%，“比较满意”占比52.91%。</w:t>
      </w:r>
    </w:p>
    <w:p>
      <w:pPr>
        <w:spacing w:line="360" w:lineRule="auto"/>
        <w:ind w:firstLine="480" w:firstLineChars="200"/>
        <w:jc w:val="left"/>
        <w:rPr>
          <w:rFonts w:ascii="宋体" w:hAnsi="宋体" w:cs="宋体"/>
          <w:sz w:val="24"/>
        </w:rPr>
      </w:pPr>
      <w:r>
        <w:rPr>
          <w:rFonts w:hint="eastAsia" w:ascii="宋体" w:hAnsi="宋体" w:cs="宋体"/>
          <w:sz w:val="24"/>
        </w:rPr>
        <w:t>“一般”占比15.33%，“比较不满意”占比1.83%，“非常不满意”占比0.77%。（图3-13所示）</w:t>
      </w:r>
    </w:p>
    <w:p>
      <w:pPr>
        <w:spacing w:line="460" w:lineRule="exact"/>
        <w:jc w:val="left"/>
        <w:rPr>
          <w:rFonts w:ascii="宋体" w:hAnsi="宋体" w:cs="宋体"/>
          <w:b/>
          <w:bCs/>
          <w:sz w:val="28"/>
          <w:szCs w:val="28"/>
          <w:lang w:bidi="zh-CN"/>
        </w:rPr>
      </w:pPr>
    </w:p>
    <w:p>
      <w:pPr>
        <w:widowControl/>
        <w:spacing w:line="360" w:lineRule="auto"/>
        <w:ind w:firstLine="420" w:firstLineChars="200"/>
        <w:jc w:val="center"/>
      </w:pPr>
      <w:r>
        <w:drawing>
          <wp:inline distT="0" distB="0" distL="114300" distR="114300">
            <wp:extent cx="4572000" cy="3096260"/>
            <wp:effectExtent l="4445" t="4445" r="14605" b="23495"/>
            <wp:docPr id="6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图3-13 用人单位对学校毕业生动手实践能力的满意度</w:t>
      </w:r>
    </w:p>
    <w:p>
      <w:pPr>
        <w:pStyle w:val="2"/>
        <w:numPr>
          <w:ilvl w:val="0"/>
          <w:numId w:val="14"/>
        </w:numPr>
        <w:spacing w:line="600" w:lineRule="auto"/>
        <w:outlineLvl w:val="1"/>
        <w:rPr>
          <w:rFonts w:ascii="黑体" w:hAnsi="黑体" w:eastAsia="黑体" w:cs="黑体"/>
          <w:b/>
          <w:bCs/>
          <w:lang w:val="en-US"/>
        </w:rPr>
      </w:pPr>
      <w:bookmarkStart w:id="1307" w:name="_Toc32715"/>
      <w:bookmarkStart w:id="1308" w:name="_Toc1811"/>
      <w:bookmarkStart w:id="1309" w:name="_Toc17391"/>
      <w:bookmarkStart w:id="1310" w:name="_Toc27718"/>
      <w:bookmarkStart w:id="1311" w:name="_Toc19320"/>
      <w:bookmarkStart w:id="1312" w:name="_Toc16561"/>
      <w:r>
        <w:rPr>
          <w:rFonts w:hint="eastAsia" w:ascii="黑体" w:hAnsi="黑体" w:eastAsia="黑体" w:cs="黑体"/>
          <w:b/>
          <w:bCs/>
          <w:lang w:val="en-US"/>
        </w:rPr>
        <w:t>用人单位对学校毕业生抗压能力的满意度</w:t>
      </w:r>
      <w:bookmarkEnd w:id="1307"/>
      <w:bookmarkEnd w:id="1308"/>
      <w:bookmarkEnd w:id="1309"/>
      <w:bookmarkEnd w:id="1310"/>
      <w:bookmarkEnd w:id="1311"/>
      <w:bookmarkEnd w:id="1312"/>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用人单位对学校毕业生竞争优势中抗压能力的满意度（即“非常满意”和“比较满意”、“一般”人数比例之和）为96.59%。</w:t>
      </w:r>
    </w:p>
    <w:p>
      <w:pPr>
        <w:widowControl/>
        <w:spacing w:line="360" w:lineRule="auto"/>
        <w:ind w:firstLine="480" w:firstLineChars="200"/>
        <w:jc w:val="left"/>
        <w:rPr>
          <w:rFonts w:ascii="宋体" w:hAnsi="宋体" w:cs="宋体"/>
          <w:sz w:val="24"/>
        </w:rPr>
      </w:pPr>
      <w:r>
        <w:rPr>
          <w:rFonts w:hint="eastAsia" w:ascii="宋体" w:hAnsi="宋体" w:cs="宋体"/>
          <w:sz w:val="24"/>
        </w:rPr>
        <w:t>其中“非常满意”占比28.13%，“比较满意”占比54.84%。</w:t>
      </w:r>
    </w:p>
    <w:p>
      <w:pPr>
        <w:widowControl/>
        <w:spacing w:line="360" w:lineRule="auto"/>
        <w:ind w:firstLine="480" w:firstLineChars="200"/>
        <w:jc w:val="left"/>
        <w:rPr>
          <w:rFonts w:ascii="宋体" w:hAnsi="宋体" w:cs="宋体"/>
          <w:b/>
          <w:bCs/>
          <w:sz w:val="28"/>
          <w:szCs w:val="28"/>
          <w:lang w:bidi="zh-CN"/>
        </w:rPr>
      </w:pPr>
      <w:r>
        <w:rPr>
          <w:rFonts w:hint="eastAsia" w:ascii="宋体" w:hAnsi="宋体" w:cs="宋体"/>
          <w:sz w:val="24"/>
        </w:rPr>
        <w:t>“一般”占比13.62%，“比较不满意”占比2.36%，“非常不满意”占比1.05%。（图3-14所示）</w:t>
      </w:r>
    </w:p>
    <w:p>
      <w:pPr>
        <w:widowControl/>
        <w:spacing w:line="360" w:lineRule="auto"/>
        <w:ind w:firstLine="420" w:firstLineChars="200"/>
        <w:jc w:val="center"/>
      </w:pPr>
      <w:r>
        <w:drawing>
          <wp:inline distT="0" distB="0" distL="114300" distR="114300">
            <wp:extent cx="4572000" cy="2887980"/>
            <wp:effectExtent l="4445" t="4445" r="14605" b="22225"/>
            <wp:docPr id="6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图3-14 用人单位对学校毕业生抗压能力的满意度</w:t>
      </w:r>
    </w:p>
    <w:p>
      <w:pPr>
        <w:pStyle w:val="2"/>
        <w:numPr>
          <w:ilvl w:val="0"/>
          <w:numId w:val="14"/>
        </w:numPr>
        <w:spacing w:line="600" w:lineRule="auto"/>
        <w:outlineLvl w:val="1"/>
        <w:rPr>
          <w:rFonts w:ascii="黑体" w:hAnsi="黑体" w:eastAsia="黑体" w:cs="黑体"/>
          <w:b/>
          <w:bCs/>
          <w:lang w:val="en-US"/>
        </w:rPr>
      </w:pPr>
      <w:bookmarkStart w:id="1313" w:name="_Toc11800"/>
      <w:bookmarkStart w:id="1314" w:name="_Toc28601"/>
      <w:bookmarkStart w:id="1315" w:name="_Toc23137"/>
      <w:bookmarkStart w:id="1316" w:name="_Toc12937"/>
      <w:bookmarkStart w:id="1317" w:name="_Toc4679"/>
      <w:bookmarkStart w:id="1318" w:name="_Toc20548"/>
      <w:r>
        <w:rPr>
          <w:rFonts w:hint="eastAsia" w:ascii="黑体" w:hAnsi="黑体" w:eastAsia="黑体" w:cs="黑体"/>
          <w:b/>
          <w:bCs/>
          <w:lang w:val="en-US"/>
        </w:rPr>
        <w:t>用人单位对学校毕业生计算机应用能力的满意度</w:t>
      </w:r>
      <w:bookmarkEnd w:id="1313"/>
      <w:bookmarkEnd w:id="1314"/>
      <w:bookmarkEnd w:id="1315"/>
      <w:bookmarkEnd w:id="1316"/>
      <w:bookmarkEnd w:id="1317"/>
      <w:bookmarkEnd w:id="1318"/>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用人单位对学校毕业生竞争优势中计算机应用能力的满意度（即“非常满意”和“比较满意”、“一般”人数比例之和）为95.81%。</w:t>
      </w:r>
    </w:p>
    <w:p>
      <w:pPr>
        <w:spacing w:line="360" w:lineRule="auto"/>
        <w:ind w:firstLine="480" w:firstLineChars="200"/>
        <w:jc w:val="left"/>
        <w:rPr>
          <w:rFonts w:ascii="宋体" w:hAnsi="宋体" w:cs="宋体"/>
          <w:sz w:val="24"/>
        </w:rPr>
      </w:pPr>
      <w:r>
        <w:rPr>
          <w:rFonts w:hint="eastAsia" w:ascii="宋体" w:hAnsi="宋体" w:cs="宋体"/>
          <w:sz w:val="24"/>
        </w:rPr>
        <w:t>其中“非常满意”占比28.62%，“比较满意”占比53.21%。</w:t>
      </w:r>
    </w:p>
    <w:p>
      <w:pPr>
        <w:spacing w:line="360" w:lineRule="auto"/>
        <w:ind w:firstLine="480" w:firstLineChars="200"/>
        <w:jc w:val="left"/>
        <w:rPr>
          <w:rFonts w:ascii="宋体" w:hAnsi="宋体" w:cs="宋体"/>
          <w:sz w:val="24"/>
        </w:rPr>
      </w:pPr>
      <w:r>
        <w:rPr>
          <w:rFonts w:hint="eastAsia" w:ascii="宋体" w:hAnsi="宋体" w:cs="宋体"/>
          <w:sz w:val="24"/>
        </w:rPr>
        <w:t>“一般”占比13.98%，“比较不满意”占比2.13%，“非常不满意”占比2.06%。（图3-15所示）</w:t>
      </w:r>
    </w:p>
    <w:p>
      <w:pPr>
        <w:widowControl/>
        <w:spacing w:line="360" w:lineRule="auto"/>
        <w:ind w:firstLine="420" w:firstLineChars="200"/>
        <w:jc w:val="center"/>
      </w:pPr>
      <w:r>
        <w:drawing>
          <wp:inline distT="0" distB="0" distL="114300" distR="114300">
            <wp:extent cx="4572000" cy="3034030"/>
            <wp:effectExtent l="4445" t="4445" r="14605" b="9525"/>
            <wp:docPr id="6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图3-15  用人单位对学校毕业生计算机应用能力的满意度</w:t>
      </w:r>
    </w:p>
    <w:p>
      <w:pPr>
        <w:pStyle w:val="2"/>
        <w:numPr>
          <w:ilvl w:val="0"/>
          <w:numId w:val="14"/>
        </w:numPr>
        <w:spacing w:line="600" w:lineRule="auto"/>
        <w:outlineLvl w:val="1"/>
        <w:rPr>
          <w:rFonts w:ascii="黑体" w:hAnsi="黑体" w:eastAsia="黑体" w:cs="黑体"/>
          <w:b/>
          <w:bCs/>
          <w:lang w:val="en-US"/>
        </w:rPr>
      </w:pPr>
      <w:bookmarkStart w:id="1319" w:name="_Toc13634"/>
      <w:bookmarkStart w:id="1320" w:name="_Toc25608"/>
      <w:bookmarkStart w:id="1321" w:name="_Toc2926"/>
      <w:bookmarkStart w:id="1322" w:name="_Toc19049"/>
      <w:bookmarkStart w:id="1323" w:name="_Toc20279"/>
      <w:bookmarkStart w:id="1324" w:name="_Toc7508"/>
      <w:r>
        <w:rPr>
          <w:rFonts w:hint="eastAsia" w:ascii="黑体" w:hAnsi="黑体" w:eastAsia="黑体" w:cs="黑体"/>
          <w:b/>
          <w:bCs/>
          <w:lang w:val="en-US"/>
        </w:rPr>
        <w:t>用人单位对学校毕业生创新能力的满意度</w:t>
      </w:r>
      <w:bookmarkEnd w:id="1319"/>
      <w:bookmarkEnd w:id="1320"/>
      <w:bookmarkEnd w:id="1321"/>
      <w:bookmarkEnd w:id="1322"/>
      <w:bookmarkEnd w:id="1323"/>
      <w:bookmarkEnd w:id="1324"/>
    </w:p>
    <w:p>
      <w:pPr>
        <w:spacing w:line="360" w:lineRule="auto"/>
        <w:ind w:firstLine="480" w:firstLineChars="200"/>
        <w:jc w:val="left"/>
        <w:rPr>
          <w:rFonts w:ascii="宋体" w:hAnsi="宋体" w:cs="宋体"/>
          <w:sz w:val="24"/>
        </w:rPr>
      </w:pPr>
      <w:r>
        <w:rPr>
          <w:rFonts w:hint="eastAsia" w:ascii="宋体" w:hAnsi="宋体" w:cs="宋体"/>
          <w:sz w:val="24"/>
        </w:rPr>
        <w:t>用人单位对学校毕业生竞争优势中创新能力的满意度（即“非常满意”和“比较满意”、“一般”人数比例之和）为98.42%。</w:t>
      </w:r>
    </w:p>
    <w:p>
      <w:pPr>
        <w:spacing w:line="360" w:lineRule="auto"/>
        <w:ind w:firstLine="480" w:firstLineChars="200"/>
        <w:jc w:val="left"/>
        <w:rPr>
          <w:rFonts w:ascii="宋体" w:hAnsi="宋体" w:cs="宋体"/>
          <w:sz w:val="24"/>
        </w:rPr>
      </w:pPr>
      <w:r>
        <w:rPr>
          <w:rFonts w:hint="eastAsia" w:ascii="宋体" w:hAnsi="宋体" w:cs="宋体"/>
          <w:sz w:val="24"/>
        </w:rPr>
        <w:t>其中“非常满意”占比30.12%，“比较满意”占比49.15%。</w:t>
      </w:r>
    </w:p>
    <w:p>
      <w:pPr>
        <w:spacing w:line="360" w:lineRule="auto"/>
        <w:ind w:firstLine="480" w:firstLineChars="200"/>
        <w:jc w:val="left"/>
        <w:rPr>
          <w:rFonts w:ascii="宋体" w:hAnsi="宋体" w:cs="宋体"/>
          <w:sz w:val="24"/>
        </w:rPr>
      </w:pPr>
      <w:r>
        <w:rPr>
          <w:rFonts w:hint="eastAsia" w:ascii="宋体" w:hAnsi="宋体" w:cs="宋体"/>
          <w:sz w:val="24"/>
        </w:rPr>
        <w:t>“一般”占比19.15%，“比较不满意”占比0.62%，“非常不满意”占比0.96%。（图3-16所示）</w:t>
      </w:r>
    </w:p>
    <w:p>
      <w:pPr>
        <w:spacing w:line="360" w:lineRule="auto"/>
        <w:ind w:firstLine="480" w:firstLineChars="200"/>
        <w:jc w:val="left"/>
        <w:rPr>
          <w:rFonts w:ascii="宋体" w:hAnsi="宋体" w:cs="宋体"/>
          <w:sz w:val="24"/>
        </w:rPr>
      </w:pPr>
    </w:p>
    <w:p>
      <w:pPr>
        <w:widowControl/>
        <w:spacing w:line="360" w:lineRule="auto"/>
        <w:ind w:firstLine="420" w:firstLineChars="200"/>
        <w:jc w:val="center"/>
      </w:pPr>
      <w:r>
        <w:drawing>
          <wp:inline distT="0" distB="0" distL="114300" distR="114300">
            <wp:extent cx="4572000" cy="3198495"/>
            <wp:effectExtent l="4445" t="4445" r="14605" b="16510"/>
            <wp:docPr id="6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图3-16  用人单位对学校毕业生创新能力的满意度</w:t>
      </w:r>
    </w:p>
    <w:p>
      <w:pPr>
        <w:pStyle w:val="2"/>
        <w:numPr>
          <w:ilvl w:val="0"/>
          <w:numId w:val="14"/>
        </w:numPr>
        <w:spacing w:line="600" w:lineRule="auto"/>
        <w:outlineLvl w:val="1"/>
        <w:rPr>
          <w:rFonts w:ascii="黑体" w:hAnsi="黑体" w:eastAsia="黑体" w:cs="黑体"/>
          <w:b/>
          <w:bCs/>
          <w:lang w:val="en-US"/>
        </w:rPr>
      </w:pPr>
      <w:bookmarkStart w:id="1325" w:name="_Toc28678"/>
      <w:bookmarkStart w:id="1326" w:name="_Toc23173"/>
      <w:bookmarkStart w:id="1327" w:name="_Toc411"/>
      <w:bookmarkStart w:id="1328" w:name="_Toc18622"/>
      <w:bookmarkStart w:id="1329" w:name="_Toc1455"/>
      <w:bookmarkStart w:id="1330" w:name="_Toc5244"/>
      <w:r>
        <w:rPr>
          <w:rFonts w:hint="eastAsia" w:ascii="黑体" w:hAnsi="黑体" w:eastAsia="黑体" w:cs="黑体"/>
          <w:b/>
          <w:bCs/>
          <w:lang w:val="en-US"/>
        </w:rPr>
        <w:t>用人单位对学校毕业生英语能力的满意度</w:t>
      </w:r>
      <w:bookmarkEnd w:id="1325"/>
      <w:bookmarkEnd w:id="1326"/>
      <w:bookmarkEnd w:id="1327"/>
      <w:bookmarkEnd w:id="1328"/>
      <w:bookmarkEnd w:id="1329"/>
      <w:bookmarkEnd w:id="1330"/>
    </w:p>
    <w:p>
      <w:pPr>
        <w:spacing w:line="460" w:lineRule="exact"/>
        <w:ind w:firstLine="480" w:firstLineChars="200"/>
        <w:jc w:val="left"/>
        <w:rPr>
          <w:rFonts w:ascii="宋体" w:hAnsi="宋体" w:cs="宋体"/>
          <w:sz w:val="24"/>
        </w:rPr>
      </w:pPr>
      <w:r>
        <w:rPr>
          <w:rFonts w:hint="eastAsia" w:ascii="宋体" w:hAnsi="宋体" w:cs="宋体"/>
          <w:sz w:val="24"/>
        </w:rPr>
        <w:t>用人单位对学校毕业生竞争优势中英语能力的满意度（即“非常满意”和“比较满意”、“一般”人数比例之和）为95.71%。</w:t>
      </w:r>
    </w:p>
    <w:p>
      <w:pPr>
        <w:widowControl/>
        <w:spacing w:line="360" w:lineRule="auto"/>
        <w:ind w:firstLine="480" w:firstLineChars="200"/>
        <w:jc w:val="left"/>
        <w:rPr>
          <w:rFonts w:ascii="宋体" w:hAnsi="宋体" w:cs="宋体"/>
          <w:sz w:val="24"/>
        </w:rPr>
      </w:pPr>
      <w:r>
        <w:rPr>
          <w:rFonts w:hint="eastAsia" w:ascii="宋体" w:hAnsi="宋体" w:cs="宋体"/>
          <w:sz w:val="24"/>
        </w:rPr>
        <w:t>其中“非常满意”占比28.31%，“比较满意”占比52.19%。</w:t>
      </w:r>
    </w:p>
    <w:p>
      <w:pPr>
        <w:widowControl/>
        <w:spacing w:line="360" w:lineRule="auto"/>
        <w:ind w:firstLine="480" w:firstLineChars="200"/>
        <w:jc w:val="left"/>
        <w:rPr>
          <w:rFonts w:ascii="宋体" w:hAnsi="宋体" w:cs="宋体"/>
          <w:b/>
          <w:bCs/>
          <w:sz w:val="28"/>
          <w:szCs w:val="28"/>
          <w:lang w:bidi="zh-CN"/>
        </w:rPr>
      </w:pPr>
      <w:r>
        <w:rPr>
          <w:rFonts w:hint="eastAsia" w:ascii="宋体" w:hAnsi="宋体" w:cs="宋体"/>
          <w:sz w:val="24"/>
        </w:rPr>
        <w:t>“一般”占比15.21%，“比较不满意”占比2.94%，“非常不满意”占比1.35%。（图3-17所示）</w:t>
      </w:r>
    </w:p>
    <w:p>
      <w:pPr>
        <w:widowControl/>
        <w:spacing w:line="360" w:lineRule="auto"/>
        <w:ind w:firstLine="420" w:firstLineChars="200"/>
        <w:jc w:val="center"/>
      </w:pPr>
      <w:r>
        <w:drawing>
          <wp:inline distT="0" distB="0" distL="114300" distR="114300">
            <wp:extent cx="4572000" cy="3063875"/>
            <wp:effectExtent l="4445" t="4445" r="14605" b="17780"/>
            <wp:docPr id="7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图3-17  用人单位对学校毕业生英语能力的满意度</w:t>
      </w:r>
    </w:p>
    <w:p>
      <w:pPr>
        <w:spacing w:line="600" w:lineRule="auto"/>
        <w:outlineLvl w:val="0"/>
        <w:rPr>
          <w:rFonts w:ascii="黑体" w:hAnsi="黑体" w:eastAsia="黑体" w:cs="黑体"/>
          <w:b/>
          <w:color w:val="000000"/>
          <w:sz w:val="30"/>
          <w:szCs w:val="30"/>
        </w:rPr>
      </w:pPr>
      <w:bookmarkStart w:id="1331" w:name="_Toc21392"/>
      <w:bookmarkStart w:id="1332" w:name="_Toc13027"/>
      <w:bookmarkStart w:id="1333" w:name="_Toc28950"/>
      <w:bookmarkStart w:id="1334" w:name="_Toc31468"/>
      <w:bookmarkStart w:id="1335" w:name="_Toc12222"/>
      <w:bookmarkStart w:id="1336" w:name="_Toc23301"/>
      <w:bookmarkStart w:id="1337" w:name="_Toc13075"/>
      <w:bookmarkStart w:id="1338" w:name="_Toc24305"/>
      <w:bookmarkStart w:id="1339" w:name="_Toc10768"/>
      <w:bookmarkStart w:id="1340" w:name="_Toc30767"/>
      <w:bookmarkStart w:id="1341" w:name="_Toc21245"/>
      <w:bookmarkStart w:id="1342" w:name="_Toc3302"/>
      <w:bookmarkStart w:id="1343" w:name="_Toc608"/>
      <w:bookmarkStart w:id="1344" w:name="_Toc28108"/>
      <w:bookmarkStart w:id="1345" w:name="_Toc10973"/>
      <w:bookmarkStart w:id="1346" w:name="_Toc422"/>
      <w:bookmarkStart w:id="1347" w:name="_Toc22168"/>
      <w:bookmarkStart w:id="1348" w:name="_Toc25243"/>
      <w:bookmarkStart w:id="1349" w:name="_Toc1218"/>
      <w:bookmarkStart w:id="1350" w:name="_Toc14987"/>
      <w:bookmarkStart w:id="1351" w:name="_Toc2169"/>
      <w:bookmarkStart w:id="1352" w:name="_Toc26143"/>
      <w:bookmarkStart w:id="1353" w:name="_Toc9196"/>
      <w:bookmarkStart w:id="1354" w:name="_Toc12794"/>
      <w:bookmarkStart w:id="1355" w:name="_Toc22284"/>
      <w:bookmarkStart w:id="1356" w:name="_Toc31648"/>
      <w:bookmarkStart w:id="1357" w:name="_Toc6864"/>
      <w:bookmarkStart w:id="1358" w:name="_Toc8767"/>
      <w:r>
        <w:rPr>
          <w:rFonts w:hint="eastAsia" w:ascii="黑体" w:hAnsi="黑体" w:eastAsia="黑体" w:cs="黑体"/>
          <w:b/>
          <w:color w:val="000000"/>
          <w:sz w:val="30"/>
          <w:szCs w:val="30"/>
        </w:rPr>
        <w:t>四、用人单位对学校就业服务工作的满意度情况</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spacing w:line="360" w:lineRule="auto"/>
        <w:ind w:firstLine="480" w:firstLineChars="200"/>
        <w:jc w:val="left"/>
        <w:rPr>
          <w:rFonts w:ascii="宋体" w:hAnsi="宋体" w:cs="宋体"/>
          <w:sz w:val="24"/>
        </w:rPr>
      </w:pPr>
      <w:r>
        <w:rPr>
          <w:rFonts w:hint="eastAsia" w:ascii="宋体" w:hAnsi="宋体" w:cs="宋体"/>
          <w:sz w:val="24"/>
        </w:rPr>
        <w:t>毕业生就业单位对学校就业服务工作的满意度（即“非常满意”和“比较满意”、“一般”人数比例之和）为98.78%。</w:t>
      </w:r>
    </w:p>
    <w:p>
      <w:pPr>
        <w:spacing w:line="360" w:lineRule="auto"/>
        <w:ind w:firstLine="480" w:firstLineChars="200"/>
        <w:jc w:val="left"/>
        <w:rPr>
          <w:rFonts w:ascii="宋体" w:hAnsi="宋体" w:cs="宋体"/>
          <w:sz w:val="24"/>
        </w:rPr>
      </w:pPr>
    </w:p>
    <w:p>
      <w:pPr>
        <w:spacing w:line="360" w:lineRule="auto"/>
        <w:jc w:val="center"/>
        <w:rPr>
          <w:rFonts w:ascii="微软雅黑" w:hAnsi="微软雅黑" w:eastAsia="微软雅黑" w:cs="微软雅黑"/>
          <w:b/>
          <w:bCs/>
          <w:sz w:val="20"/>
          <w:szCs w:val="20"/>
          <w:lang w:bidi="zh-CN"/>
        </w:rPr>
      </w:pPr>
      <w:r>
        <w:drawing>
          <wp:inline distT="0" distB="0" distL="114300" distR="114300">
            <wp:extent cx="4572000" cy="3381375"/>
            <wp:effectExtent l="4445" t="4445" r="14605" b="5080"/>
            <wp:docPr id="7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widowControl/>
        <w:spacing w:line="360" w:lineRule="auto"/>
        <w:ind w:firstLine="400" w:firstLineChars="200"/>
        <w:jc w:val="center"/>
        <w:rPr>
          <w:rFonts w:ascii="微软雅黑" w:hAnsi="微软雅黑" w:eastAsia="微软雅黑" w:cs="微软雅黑"/>
          <w:b/>
          <w:bCs/>
          <w:sz w:val="20"/>
          <w:szCs w:val="20"/>
          <w:lang w:bidi="zh-CN"/>
        </w:rPr>
      </w:pPr>
      <w:r>
        <w:rPr>
          <w:rFonts w:hint="eastAsia" w:ascii="微软雅黑" w:hAnsi="微软雅黑" w:eastAsia="微软雅黑" w:cs="微软雅黑"/>
          <w:b/>
          <w:bCs/>
          <w:sz w:val="20"/>
          <w:szCs w:val="20"/>
          <w:lang w:bidi="zh-CN"/>
        </w:rPr>
        <w:t>图3-18 用人单位对学校就业服务工作的满意度情况</w:t>
      </w:r>
    </w:p>
    <w:p>
      <w:pPr>
        <w:spacing w:line="360" w:lineRule="auto"/>
        <w:ind w:firstLine="480" w:firstLineChars="200"/>
        <w:jc w:val="left"/>
        <w:rPr>
          <w:rFonts w:ascii="宋体" w:hAnsi="宋体" w:cs="宋体"/>
          <w:sz w:val="24"/>
        </w:rPr>
      </w:pPr>
      <w:r>
        <w:rPr>
          <w:rFonts w:hint="eastAsia" w:ascii="宋体" w:hAnsi="宋体" w:cs="宋体"/>
          <w:sz w:val="24"/>
        </w:rPr>
        <w:t>其中“非常满意”占比53.05%，“比较满意”占比30.46%。</w:t>
      </w:r>
    </w:p>
    <w:p>
      <w:pPr>
        <w:spacing w:line="360" w:lineRule="auto"/>
        <w:ind w:firstLine="480" w:firstLineChars="200"/>
        <w:jc w:val="left"/>
        <w:rPr>
          <w:rFonts w:ascii="微软雅黑" w:hAnsi="微软雅黑" w:eastAsia="微软雅黑" w:cs="微软雅黑"/>
          <w:b/>
          <w:bCs/>
          <w:sz w:val="24"/>
          <w:lang w:bidi="zh-CN"/>
        </w:rPr>
      </w:pPr>
      <w:r>
        <w:rPr>
          <w:rFonts w:hint="eastAsia" w:ascii="宋体" w:hAnsi="宋体" w:cs="宋体"/>
          <w:sz w:val="24"/>
        </w:rPr>
        <w:t>“一般”占比15.27%，“比较不满意”占比1.22%，“非常不满意”占比0.00%。（图3-18所示）</w:t>
      </w: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ind w:firstLine="400" w:firstLineChars="200"/>
        <w:jc w:val="center"/>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widowControl/>
        <w:spacing w:line="360" w:lineRule="auto"/>
        <w:rPr>
          <w:rFonts w:ascii="微软雅黑" w:hAnsi="微软雅黑" w:eastAsia="微软雅黑" w:cs="微软雅黑"/>
          <w:b/>
          <w:bCs/>
          <w:sz w:val="20"/>
          <w:szCs w:val="20"/>
          <w:lang w:bidi="zh-CN"/>
        </w:rPr>
      </w:pPr>
    </w:p>
    <w:p>
      <w:pPr>
        <w:spacing w:line="600" w:lineRule="auto"/>
        <w:rPr>
          <w:rFonts w:ascii="黑体" w:hAnsi="黑体" w:eastAsia="黑体" w:cs="黑体"/>
          <w:b/>
          <w:bCs/>
          <w:sz w:val="30"/>
          <w:szCs w:val="30"/>
        </w:rPr>
      </w:pPr>
      <w:r>
        <w:rPr>
          <w:rFonts w:ascii="Times New Roman"/>
          <w:sz w:val="20"/>
        </w:rPr>
        <w:pict>
          <v:shape id="_x0000_s1026" o:spid="_x0000_s1026" o:spt="202" type="#_x0000_t202" style="height:34pt;width:416.05pt;" fillcolor="#990000" filled="t" stroked="f" coordsize="21600,21600">
            <v:path/>
            <v:fill on="t" focussize="0,0"/>
            <v:stroke on="f" weight="0.48pt" joinstyle="miter"/>
            <v:imagedata o:title=""/>
            <o:lock v:ext="edit"/>
            <v:textbox inset="0mm,0mm,0mm,0mm">
              <w:txbxContent>
                <w:p>
                  <w:pPr>
                    <w:jc w:val="center"/>
                    <w:rPr>
                      <w:rFonts w:ascii="黑体" w:eastAsia="黑体"/>
                      <w:b/>
                      <w:sz w:val="32"/>
                    </w:rPr>
                  </w:pPr>
                  <w:r>
                    <w:rPr>
                      <w:rFonts w:hint="eastAsia" w:ascii="黑体" w:eastAsia="黑体"/>
                      <w:b/>
                      <w:color w:val="FFFFFF"/>
                      <w:sz w:val="32"/>
                    </w:rPr>
                    <w:t>第四部分  就业举措</w:t>
                  </w:r>
                </w:p>
                <w:p>
                  <w:pPr>
                    <w:spacing w:line="360" w:lineRule="auto"/>
                    <w:jc w:val="center"/>
                    <w:rPr>
                      <w:rFonts w:ascii="黑体" w:eastAsia="黑体"/>
                      <w:b/>
                      <w:color w:val="FFFFFF"/>
                      <w:sz w:val="32"/>
                    </w:rPr>
                  </w:pPr>
                </w:p>
              </w:txbxContent>
            </v:textbox>
            <w10:wrap type="none"/>
            <w10:anchorlock/>
          </v:shape>
        </w:pict>
      </w:r>
    </w:p>
    <w:p>
      <w:pPr>
        <w:ind w:firstLine="480" w:firstLineChars="200"/>
        <w:rPr>
          <w:rFonts w:ascii="宋体" w:hAnsi="宋体" w:cs="宋体"/>
          <w:sz w:val="24"/>
        </w:rPr>
      </w:pPr>
    </w:p>
    <w:p>
      <w:pPr>
        <w:spacing w:line="360" w:lineRule="auto"/>
        <w:ind w:firstLine="480" w:firstLineChars="200"/>
        <w:jc w:val="left"/>
        <w:rPr>
          <w:rFonts w:ascii="仿宋_GB2312"/>
          <w:sz w:val="28"/>
          <w:szCs w:val="28"/>
        </w:rPr>
      </w:pPr>
      <w:r>
        <w:rPr>
          <w:rFonts w:hint="eastAsia" w:ascii="宋体" w:hAnsi="宋体" w:cs="宋体"/>
          <w:sz w:val="24"/>
        </w:rPr>
        <w:t>在全国高校毕业生人数继续增加、高校毕业生就业压力持续增大的工作背景下，经过全校师生的共同努力，上海立达学院就业工作克服了诸多不利影响因素，总体上较圆满地完成了就业工作任务。</w:t>
      </w:r>
    </w:p>
    <w:p>
      <w:pPr>
        <w:spacing w:line="600" w:lineRule="auto"/>
        <w:ind w:firstLine="602" w:firstLineChars="200"/>
        <w:outlineLvl w:val="0"/>
        <w:rPr>
          <w:rFonts w:ascii="黑体" w:hAnsi="黑体" w:eastAsia="黑体" w:cs="黑体"/>
          <w:b/>
          <w:color w:val="000000"/>
          <w:sz w:val="30"/>
          <w:szCs w:val="30"/>
        </w:rPr>
      </w:pPr>
      <w:bookmarkStart w:id="1359" w:name="_Toc24337"/>
      <w:r>
        <w:rPr>
          <w:rFonts w:hint="eastAsia" w:ascii="黑体" w:hAnsi="黑体" w:eastAsia="黑体" w:cs="黑体"/>
          <w:b/>
          <w:color w:val="000000"/>
          <w:sz w:val="30"/>
          <w:szCs w:val="30"/>
        </w:rPr>
        <w:t>一、领导重视，精准布局</w:t>
      </w:r>
      <w:bookmarkEnd w:id="1359"/>
    </w:p>
    <w:p>
      <w:pPr>
        <w:spacing w:line="360" w:lineRule="auto"/>
        <w:ind w:firstLine="480" w:firstLineChars="200"/>
        <w:rPr>
          <w:rFonts w:ascii="仿宋" w:hAnsi="仿宋" w:eastAsia="仿宋"/>
          <w:sz w:val="28"/>
          <w:szCs w:val="28"/>
        </w:rPr>
      </w:pPr>
      <w:r>
        <w:rPr>
          <w:rFonts w:hint="eastAsia" w:ascii="宋体" w:hAnsi="宋体" w:cs="宋体"/>
          <w:sz w:val="24"/>
        </w:rPr>
        <w:t>领导重视始终是就业工作顺利开展的重要保障。学校校长每年与二级学院院长签订就业目标责任书，在强调初次就业率、签约率作为二级院系重要考核指标的前提下，将就业佐证材料的真实度、毕业生毕业后追踪回访等指标列入责任书，保障就业工作顺利开展。</w:t>
      </w:r>
    </w:p>
    <w:p>
      <w:pPr>
        <w:spacing w:line="600" w:lineRule="auto"/>
        <w:ind w:firstLine="602" w:firstLineChars="200"/>
        <w:outlineLvl w:val="0"/>
        <w:rPr>
          <w:rFonts w:ascii="黑体" w:hAnsi="黑体" w:eastAsia="黑体" w:cs="黑体"/>
          <w:b/>
          <w:color w:val="000000"/>
          <w:sz w:val="30"/>
          <w:szCs w:val="30"/>
        </w:rPr>
      </w:pPr>
      <w:bookmarkStart w:id="1360" w:name="_Toc13362"/>
      <w:r>
        <w:rPr>
          <w:rFonts w:hint="eastAsia" w:ascii="黑体" w:hAnsi="黑体" w:eastAsia="黑体" w:cs="黑体"/>
          <w:b/>
          <w:color w:val="000000"/>
          <w:sz w:val="30"/>
          <w:szCs w:val="30"/>
        </w:rPr>
        <w:t>二、建立用人单位数据库</w:t>
      </w:r>
      <w:bookmarkEnd w:id="1360"/>
    </w:p>
    <w:p>
      <w:pPr>
        <w:spacing w:line="360" w:lineRule="auto"/>
        <w:ind w:firstLine="480" w:firstLineChars="200"/>
        <w:rPr>
          <w:rFonts w:ascii="宋体" w:hAnsi="宋体" w:cs="宋体"/>
          <w:sz w:val="24"/>
        </w:rPr>
      </w:pPr>
      <w:r>
        <w:rPr>
          <w:rFonts w:hint="eastAsia" w:ascii="宋体" w:hAnsi="宋体" w:cs="宋体"/>
          <w:sz w:val="24"/>
        </w:rPr>
        <w:t>学校加强就业市场建设与调查工作，逐年建立就业市场单位库，2019年接触用人单位库数量300余家，岗位数7000余个，完全能够满足 “不挑不拣，人人能就业”。关注毕业生求职目标地域、行业、岗位等，最大程度实现求职意愿与需求岗位精准对接。我们及时分析历届就业流向和进校招聘单位数据，结合专业特点，邀请用人单位来校举办大型招聘会，共吸纳了180余家用人单位进场招聘,提供了600余个职位岗位近4000个工作岗位。企业行业涉及交通物流、金融、计算机信息、贸易综合、文化艺术、制造业等大类。二级学院举办专场招聘会、宣讲会若干场，帮助毕业生精准对接就业市场。</w:t>
      </w:r>
    </w:p>
    <w:p>
      <w:pPr>
        <w:spacing w:line="360" w:lineRule="auto"/>
        <w:ind w:firstLine="480" w:firstLineChars="200"/>
        <w:rPr>
          <w:rFonts w:ascii="仿宋" w:hAnsi="仿宋" w:eastAsia="仿宋"/>
          <w:sz w:val="28"/>
          <w:szCs w:val="28"/>
        </w:rPr>
      </w:pPr>
      <w:r>
        <w:rPr>
          <w:rFonts w:hint="eastAsia" w:ascii="宋体" w:hAnsi="宋体" w:cs="宋体"/>
          <w:sz w:val="24"/>
        </w:rPr>
        <w:t>校园招聘会后期做详细跟踪，通过邮件及电话形式，在招聘会举办后一个月，向他们发起调查，切实关注招聘质量，对于学生感兴趣、实际录用人数较多的企业做好维护工作，将他们引入相关二级学院做深度对接，选择合适的时机由校领导带队二级学院院长走访企业，签订校企合作协议。根据调查结果显示，超过三分之二的用人单位在校招后立即开展毕业生面试工作，邀请毕业生前往企业面谈、参观了解企业，大部分毕业生在求职的成功率几乎接近100%。尤其航运类、机械类等专业毕业生在就业市场十分抢手，足以看出本高职人才在市场中的地位。用人企业可谓是使出浑身解数、想尽办法吸引毕业生加盟。对于未就业反馈或未就业录用的企业，适当了解原因，如企业自身存在问题，则我们要做好应对，保护学生利益。</w:t>
      </w:r>
      <w:r>
        <w:rPr>
          <w:rFonts w:hint="eastAsia" w:ascii="仿宋" w:hAnsi="仿宋" w:eastAsia="仿宋"/>
          <w:sz w:val="28"/>
          <w:szCs w:val="28"/>
        </w:rPr>
        <w:t xml:space="preserve"> </w:t>
      </w:r>
    </w:p>
    <w:p>
      <w:pPr>
        <w:spacing w:line="600" w:lineRule="auto"/>
        <w:ind w:firstLine="602" w:firstLineChars="200"/>
        <w:outlineLvl w:val="0"/>
        <w:rPr>
          <w:rFonts w:ascii="黑体" w:hAnsi="黑体" w:eastAsia="黑体" w:cs="黑体"/>
          <w:b/>
          <w:color w:val="000000"/>
          <w:sz w:val="30"/>
          <w:szCs w:val="30"/>
        </w:rPr>
      </w:pPr>
      <w:bookmarkStart w:id="1361" w:name="_Toc16355"/>
      <w:r>
        <w:rPr>
          <w:rFonts w:hint="eastAsia" w:ascii="黑体" w:hAnsi="黑体" w:eastAsia="黑体" w:cs="黑体"/>
          <w:b/>
          <w:color w:val="000000"/>
          <w:sz w:val="30"/>
          <w:szCs w:val="30"/>
        </w:rPr>
        <w:t>三、帮扶就业困难群体</w:t>
      </w:r>
      <w:bookmarkEnd w:id="1361"/>
    </w:p>
    <w:p>
      <w:pPr>
        <w:spacing w:line="360" w:lineRule="auto"/>
        <w:ind w:firstLine="480" w:firstLineChars="200"/>
        <w:jc w:val="left"/>
        <w:rPr>
          <w:rFonts w:ascii="仿宋" w:hAnsi="仿宋" w:eastAsia="仿宋"/>
          <w:sz w:val="28"/>
          <w:szCs w:val="28"/>
        </w:rPr>
      </w:pPr>
      <w:r>
        <w:rPr>
          <w:rFonts w:hint="eastAsia" w:ascii="宋体" w:hAnsi="宋体" w:cs="宋体"/>
          <w:sz w:val="24"/>
        </w:rPr>
        <w:t>双困生是社会就业市场的“弱势群体”，一是做好就业困难学生动态管理。深入开展对家庭经济困难、少数民族、农村生源、身体残疾等就业困难的毕业生进行重点帮扶工作，建立从班级、学院、学校的就业困难信息数据库，实行动态管理。采取技能帮扶、岗位帮扶、心理帮扶等各种形式，提供简历、礼仪、面试等个性化训练及针对性地就业服务。二是服务不断线，切实做好离校未就业毕业生信息衔接和服务接续工作，持续为他们提供就业信息和指导服务，努力使每一位有就业意愿的毕业生在毕业年度内实现就业。</w:t>
      </w:r>
    </w:p>
    <w:p>
      <w:pPr>
        <w:spacing w:line="600" w:lineRule="auto"/>
        <w:ind w:firstLine="602" w:firstLineChars="200"/>
        <w:outlineLvl w:val="0"/>
        <w:rPr>
          <w:rFonts w:ascii="黑体" w:hAnsi="黑体" w:eastAsia="黑体" w:cs="黑体"/>
          <w:b/>
          <w:color w:val="000000"/>
          <w:sz w:val="30"/>
          <w:szCs w:val="30"/>
        </w:rPr>
      </w:pPr>
      <w:bookmarkStart w:id="1362" w:name="_Toc8002"/>
      <w:r>
        <w:rPr>
          <w:rFonts w:hint="eastAsia" w:ascii="黑体" w:hAnsi="黑体" w:eastAsia="黑体" w:cs="黑体"/>
          <w:b/>
          <w:color w:val="000000"/>
          <w:sz w:val="30"/>
          <w:szCs w:val="30"/>
        </w:rPr>
        <w:t>四、深入挖掘校友资源</w:t>
      </w:r>
      <w:bookmarkEnd w:id="1362"/>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校友资源是学校就业工作中最宝贵的社会资源，我们深入挖掘优秀校友，请他们带着岗位来到学校招聘会上招聘自己的学弟学妹们。</w:t>
      </w:r>
    </w:p>
    <w:p>
      <w:pPr>
        <w:autoSpaceDE w:val="0"/>
        <w:autoSpaceDN w:val="0"/>
        <w:adjustRightInd w:val="0"/>
        <w:spacing w:line="360" w:lineRule="auto"/>
        <w:ind w:firstLine="480" w:firstLineChars="200"/>
        <w:jc w:val="left"/>
        <w:rPr>
          <w:rFonts w:ascii="仿宋" w:hAnsi="仿宋" w:eastAsia="仿宋"/>
          <w:sz w:val="28"/>
          <w:szCs w:val="28"/>
        </w:rPr>
      </w:pPr>
      <w:r>
        <w:rPr>
          <w:rFonts w:hint="eastAsia" w:ascii="宋体" w:hAnsi="宋体" w:cs="宋体"/>
          <w:sz w:val="24"/>
        </w:rPr>
        <w:t>将他们推荐至二级学院进行深入对接，为在日后的讲座或者学生活动中提供资源。在每年的大型校园招聘中，校友作为人事负责人分别代表各自企业前来招聘毕业生已经成为常态。</w:t>
      </w:r>
    </w:p>
    <w:p>
      <w:pPr>
        <w:spacing w:line="600" w:lineRule="auto"/>
        <w:ind w:firstLine="602" w:firstLineChars="200"/>
        <w:outlineLvl w:val="0"/>
        <w:rPr>
          <w:rFonts w:ascii="黑体" w:hAnsi="黑体" w:eastAsia="黑体" w:cs="黑体"/>
          <w:b/>
          <w:color w:val="000000"/>
          <w:sz w:val="30"/>
          <w:szCs w:val="30"/>
        </w:rPr>
      </w:pPr>
      <w:bookmarkStart w:id="1363" w:name="_Toc6290"/>
      <w:r>
        <w:rPr>
          <w:rFonts w:hint="eastAsia" w:ascii="黑体" w:hAnsi="黑体" w:eastAsia="黑体" w:cs="黑体"/>
          <w:b/>
          <w:color w:val="000000"/>
          <w:sz w:val="30"/>
          <w:szCs w:val="30"/>
        </w:rPr>
        <w:t>五、引导毕业生多方式、多层次就业</w:t>
      </w:r>
      <w:bookmarkEnd w:id="1363"/>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2019届毕业生考取全日制专升本、公安学院第二专科人数较往年有都较大幅度提升，学校国际交流部门对于部分有出国意向毕业生做好海外升学的推荐与指导工作。</w:t>
      </w:r>
    </w:p>
    <w:p>
      <w:pPr>
        <w:ind w:firstLine="560" w:firstLineChars="200"/>
        <w:rPr>
          <w:rFonts w:ascii="仿宋" w:hAnsi="仿宋" w:eastAsia="仿宋"/>
          <w:sz w:val="28"/>
          <w:szCs w:val="28"/>
        </w:rPr>
      </w:pPr>
    </w:p>
    <w:p>
      <w:pPr>
        <w:widowControl/>
        <w:spacing w:line="360" w:lineRule="auto"/>
        <w:ind w:firstLine="400" w:firstLineChars="200"/>
        <w:jc w:val="center"/>
        <w:rPr>
          <w:rFonts w:ascii="微软雅黑" w:hAnsi="微软雅黑" w:eastAsia="微软雅黑" w:cs="微软雅黑"/>
          <w:b/>
          <w:bCs/>
          <w:sz w:val="20"/>
          <w:szCs w:val="20"/>
          <w:lang w:bidi="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gaGYVAgAAFQQAAA4AAABkcnMvZTJvRG9jLnhtbK1Ty47TMBTdI/EP&#10;lvc0adG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66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EjgaGYVAgAAFQQAAA4AAAAAAAAA&#10;AQAgAAAAHwEAAGRycy9lMm9Eb2MueG1sUEsFBgAAAAAGAAYAWQEAAKY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cs="宋体"/>
        <w:b/>
        <w:bCs/>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67D8D"/>
    <w:multiLevelType w:val="singleLevel"/>
    <w:tmpl w:val="87167D8D"/>
    <w:lvl w:ilvl="0" w:tentative="0">
      <w:start w:val="1"/>
      <w:numFmt w:val="chineseCounting"/>
      <w:suff w:val="nothing"/>
      <w:lvlText w:val="（%1）"/>
      <w:lvlJc w:val="left"/>
      <w:pPr>
        <w:ind w:left="0" w:firstLine="420"/>
      </w:pPr>
      <w:rPr>
        <w:rFonts w:hint="eastAsia"/>
      </w:rPr>
    </w:lvl>
  </w:abstractNum>
  <w:abstractNum w:abstractNumId="1">
    <w:nsid w:val="93AADEE1"/>
    <w:multiLevelType w:val="singleLevel"/>
    <w:tmpl w:val="93AADEE1"/>
    <w:lvl w:ilvl="0" w:tentative="0">
      <w:start w:val="1"/>
      <w:numFmt w:val="chineseCounting"/>
      <w:suff w:val="nothing"/>
      <w:lvlText w:val="（%1）"/>
      <w:lvlJc w:val="left"/>
      <w:rPr>
        <w:rFonts w:hint="eastAsia"/>
      </w:rPr>
    </w:lvl>
  </w:abstractNum>
  <w:abstractNum w:abstractNumId="2">
    <w:nsid w:val="A10E603F"/>
    <w:multiLevelType w:val="singleLevel"/>
    <w:tmpl w:val="A10E603F"/>
    <w:lvl w:ilvl="0" w:tentative="0">
      <w:start w:val="1"/>
      <w:numFmt w:val="chineseCounting"/>
      <w:suff w:val="nothing"/>
      <w:lvlText w:val="（%1）"/>
      <w:lvlJc w:val="left"/>
      <w:pPr>
        <w:ind w:left="0" w:firstLine="420"/>
      </w:pPr>
      <w:rPr>
        <w:rFonts w:hint="eastAsia"/>
      </w:rPr>
    </w:lvl>
  </w:abstractNum>
  <w:abstractNum w:abstractNumId="3">
    <w:nsid w:val="A559DAA5"/>
    <w:multiLevelType w:val="singleLevel"/>
    <w:tmpl w:val="A559DAA5"/>
    <w:lvl w:ilvl="0" w:tentative="0">
      <w:start w:val="1"/>
      <w:numFmt w:val="chineseCounting"/>
      <w:suff w:val="nothing"/>
      <w:lvlText w:val="（%1）"/>
      <w:lvlJc w:val="left"/>
      <w:pPr>
        <w:ind w:left="0" w:firstLine="420"/>
      </w:pPr>
      <w:rPr>
        <w:rFonts w:hint="eastAsia"/>
      </w:rPr>
    </w:lvl>
  </w:abstractNum>
  <w:abstractNum w:abstractNumId="4">
    <w:nsid w:val="BF2D9B71"/>
    <w:multiLevelType w:val="singleLevel"/>
    <w:tmpl w:val="BF2D9B71"/>
    <w:lvl w:ilvl="0" w:tentative="0">
      <w:start w:val="1"/>
      <w:numFmt w:val="chineseCounting"/>
      <w:suff w:val="nothing"/>
      <w:lvlText w:val="（%1）"/>
      <w:lvlJc w:val="left"/>
      <w:rPr>
        <w:rFonts w:hint="eastAsia"/>
      </w:rPr>
    </w:lvl>
  </w:abstractNum>
  <w:abstractNum w:abstractNumId="5">
    <w:nsid w:val="D0F16BCE"/>
    <w:multiLevelType w:val="singleLevel"/>
    <w:tmpl w:val="D0F16BCE"/>
    <w:lvl w:ilvl="0" w:tentative="0">
      <w:start w:val="1"/>
      <w:numFmt w:val="chineseCounting"/>
      <w:suff w:val="space"/>
      <w:lvlText w:val="第%1部分"/>
      <w:lvlJc w:val="left"/>
      <w:rPr>
        <w:rFonts w:hint="eastAsia"/>
      </w:rPr>
    </w:lvl>
  </w:abstractNum>
  <w:abstractNum w:abstractNumId="6">
    <w:nsid w:val="D4F153E9"/>
    <w:multiLevelType w:val="singleLevel"/>
    <w:tmpl w:val="D4F153E9"/>
    <w:lvl w:ilvl="0" w:tentative="0">
      <w:start w:val="1"/>
      <w:numFmt w:val="chineseCounting"/>
      <w:suff w:val="nothing"/>
      <w:lvlText w:val="（%1）"/>
      <w:lvlJc w:val="left"/>
      <w:pPr>
        <w:ind w:left="0" w:firstLine="420"/>
      </w:pPr>
      <w:rPr>
        <w:rFonts w:hint="eastAsia"/>
      </w:rPr>
    </w:lvl>
  </w:abstractNum>
  <w:abstractNum w:abstractNumId="7">
    <w:nsid w:val="E1135B13"/>
    <w:multiLevelType w:val="singleLevel"/>
    <w:tmpl w:val="E1135B13"/>
    <w:lvl w:ilvl="0" w:tentative="0">
      <w:start w:val="1"/>
      <w:numFmt w:val="chineseCounting"/>
      <w:suff w:val="nothing"/>
      <w:lvlText w:val="（%1）"/>
      <w:lvlJc w:val="left"/>
      <w:pPr>
        <w:ind w:left="0" w:firstLine="420"/>
      </w:pPr>
      <w:rPr>
        <w:rFonts w:hint="eastAsia"/>
      </w:rPr>
    </w:lvl>
  </w:abstractNum>
  <w:abstractNum w:abstractNumId="8">
    <w:nsid w:val="0A6A8544"/>
    <w:multiLevelType w:val="singleLevel"/>
    <w:tmpl w:val="0A6A8544"/>
    <w:lvl w:ilvl="0" w:tentative="0">
      <w:start w:val="1"/>
      <w:numFmt w:val="chineseCounting"/>
      <w:suff w:val="nothing"/>
      <w:lvlText w:val="（%1）"/>
      <w:lvlJc w:val="left"/>
      <w:pPr>
        <w:ind w:left="0" w:firstLine="420"/>
      </w:pPr>
      <w:rPr>
        <w:rFonts w:hint="eastAsia"/>
      </w:rPr>
    </w:lvl>
  </w:abstractNum>
  <w:abstractNum w:abstractNumId="9">
    <w:nsid w:val="11128E66"/>
    <w:multiLevelType w:val="singleLevel"/>
    <w:tmpl w:val="11128E66"/>
    <w:lvl w:ilvl="0" w:tentative="0">
      <w:start w:val="1"/>
      <w:numFmt w:val="chineseCounting"/>
      <w:suff w:val="nothing"/>
      <w:lvlText w:val="（%1）"/>
      <w:lvlJc w:val="left"/>
      <w:pPr>
        <w:ind w:left="0" w:firstLine="420"/>
      </w:pPr>
      <w:rPr>
        <w:rFonts w:hint="eastAsia"/>
      </w:rPr>
    </w:lvl>
  </w:abstractNum>
  <w:abstractNum w:abstractNumId="10">
    <w:nsid w:val="34B68CFA"/>
    <w:multiLevelType w:val="singleLevel"/>
    <w:tmpl w:val="34B68CFA"/>
    <w:lvl w:ilvl="0" w:tentative="0">
      <w:start w:val="1"/>
      <w:numFmt w:val="chineseCounting"/>
      <w:suff w:val="nothing"/>
      <w:lvlText w:val="%1、"/>
      <w:lvlJc w:val="left"/>
      <w:rPr>
        <w:rFonts w:hint="eastAsia"/>
      </w:rPr>
    </w:lvl>
  </w:abstractNum>
  <w:abstractNum w:abstractNumId="11">
    <w:nsid w:val="4E0C2B2F"/>
    <w:multiLevelType w:val="singleLevel"/>
    <w:tmpl w:val="4E0C2B2F"/>
    <w:lvl w:ilvl="0" w:tentative="0">
      <w:start w:val="1"/>
      <w:numFmt w:val="chineseCounting"/>
      <w:suff w:val="nothing"/>
      <w:lvlText w:val="（%1）"/>
      <w:lvlJc w:val="left"/>
      <w:pPr>
        <w:ind w:left="0" w:firstLine="420"/>
      </w:pPr>
      <w:rPr>
        <w:rFonts w:hint="eastAsia"/>
      </w:rPr>
    </w:lvl>
  </w:abstractNum>
  <w:abstractNum w:abstractNumId="12">
    <w:nsid w:val="5A3924CA"/>
    <w:multiLevelType w:val="singleLevel"/>
    <w:tmpl w:val="5A3924CA"/>
    <w:lvl w:ilvl="0" w:tentative="0">
      <w:start w:val="1"/>
      <w:numFmt w:val="chineseCounting"/>
      <w:suff w:val="nothing"/>
      <w:lvlText w:val="%1、"/>
      <w:lvlJc w:val="left"/>
    </w:lvl>
  </w:abstractNum>
  <w:abstractNum w:abstractNumId="13">
    <w:nsid w:val="776D34AE"/>
    <w:multiLevelType w:val="singleLevel"/>
    <w:tmpl w:val="776D34AE"/>
    <w:lvl w:ilvl="0" w:tentative="0">
      <w:start w:val="1"/>
      <w:numFmt w:val="chineseCounting"/>
      <w:suff w:val="nothing"/>
      <w:lvlText w:val="（%1）"/>
      <w:lvlJc w:val="left"/>
      <w:pPr>
        <w:ind w:left="0" w:firstLine="420"/>
      </w:pPr>
      <w:rPr>
        <w:rFonts w:hint="eastAsia"/>
      </w:rPr>
    </w:lvl>
  </w:abstractNum>
  <w:num w:numId="1">
    <w:abstractNumId w:val="5"/>
  </w:num>
  <w:num w:numId="2">
    <w:abstractNumId w:val="10"/>
  </w:num>
  <w:num w:numId="3">
    <w:abstractNumId w:val="4"/>
  </w:num>
  <w:num w:numId="4">
    <w:abstractNumId w:val="11"/>
  </w:num>
  <w:num w:numId="5">
    <w:abstractNumId w:val="6"/>
  </w:num>
  <w:num w:numId="6">
    <w:abstractNumId w:val="1"/>
  </w:num>
  <w:num w:numId="7">
    <w:abstractNumId w:val="9"/>
  </w:num>
  <w:num w:numId="8">
    <w:abstractNumId w:val="12"/>
  </w:num>
  <w:num w:numId="9">
    <w:abstractNumId w:val="3"/>
  </w:num>
  <w:num w:numId="10">
    <w:abstractNumId w:val="0"/>
  </w:num>
  <w:num w:numId="11">
    <w:abstractNumId w:val="7"/>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7102D46"/>
    <w:rsid w:val="000C280F"/>
    <w:rsid w:val="00117FA6"/>
    <w:rsid w:val="00146EA4"/>
    <w:rsid w:val="00187C09"/>
    <w:rsid w:val="00362AA4"/>
    <w:rsid w:val="00377E41"/>
    <w:rsid w:val="003D597E"/>
    <w:rsid w:val="003E71B7"/>
    <w:rsid w:val="004E1BCB"/>
    <w:rsid w:val="0053465E"/>
    <w:rsid w:val="005C600B"/>
    <w:rsid w:val="005D4F81"/>
    <w:rsid w:val="005E4ADB"/>
    <w:rsid w:val="00651B30"/>
    <w:rsid w:val="007533BE"/>
    <w:rsid w:val="007A34BD"/>
    <w:rsid w:val="007B6148"/>
    <w:rsid w:val="008E5CF0"/>
    <w:rsid w:val="008F4EAD"/>
    <w:rsid w:val="009E0CD1"/>
    <w:rsid w:val="00A25EF4"/>
    <w:rsid w:val="00A31F49"/>
    <w:rsid w:val="00A74E43"/>
    <w:rsid w:val="00B76C8C"/>
    <w:rsid w:val="00BE000A"/>
    <w:rsid w:val="00C4109E"/>
    <w:rsid w:val="00DE7613"/>
    <w:rsid w:val="00E0145D"/>
    <w:rsid w:val="00E15B32"/>
    <w:rsid w:val="00E86EBD"/>
    <w:rsid w:val="00E92411"/>
    <w:rsid w:val="03AE0507"/>
    <w:rsid w:val="09114959"/>
    <w:rsid w:val="0B6C1155"/>
    <w:rsid w:val="0F800435"/>
    <w:rsid w:val="13722B82"/>
    <w:rsid w:val="17887DC0"/>
    <w:rsid w:val="18EE2735"/>
    <w:rsid w:val="199D492D"/>
    <w:rsid w:val="1B5E051D"/>
    <w:rsid w:val="1C7B2D3D"/>
    <w:rsid w:val="27102D46"/>
    <w:rsid w:val="27571CFB"/>
    <w:rsid w:val="276E55A3"/>
    <w:rsid w:val="2AEC0DE4"/>
    <w:rsid w:val="2C28353E"/>
    <w:rsid w:val="2D0775DA"/>
    <w:rsid w:val="2F9F378B"/>
    <w:rsid w:val="35BE52FE"/>
    <w:rsid w:val="3BEF5404"/>
    <w:rsid w:val="405F17B4"/>
    <w:rsid w:val="436134A4"/>
    <w:rsid w:val="448E4C0D"/>
    <w:rsid w:val="483D5A3A"/>
    <w:rsid w:val="499602A5"/>
    <w:rsid w:val="49DB0D89"/>
    <w:rsid w:val="4B4936C6"/>
    <w:rsid w:val="4E7602C1"/>
    <w:rsid w:val="4F331B73"/>
    <w:rsid w:val="583A7633"/>
    <w:rsid w:val="5A3B06B2"/>
    <w:rsid w:val="5DD6149B"/>
    <w:rsid w:val="5E60799F"/>
    <w:rsid w:val="60F058EB"/>
    <w:rsid w:val="63A17B0B"/>
    <w:rsid w:val="64B64814"/>
    <w:rsid w:val="6E44128E"/>
    <w:rsid w:val="73B10F5C"/>
    <w:rsid w:val="783256EE"/>
    <w:rsid w:val="78EC3958"/>
    <w:rsid w:val="7D393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楷体" w:hAnsi="楷体" w:eastAsia="楷体" w:cs="楷体"/>
      <w:sz w:val="28"/>
      <w:szCs w:val="28"/>
      <w:lang w:val="zh-CN" w:bidi="zh-CN"/>
    </w:r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1"/>
    <w:pPr>
      <w:spacing w:before="160"/>
      <w:ind w:left="502"/>
    </w:pPr>
    <w:rPr>
      <w:rFonts w:ascii="宋体" w:hAnsi="宋体" w:cs="宋体"/>
      <w:b/>
      <w:bCs/>
      <w:sz w:val="24"/>
      <w:lang w:val="zh-CN" w:bidi="zh-CN"/>
    </w:rPr>
  </w:style>
  <w:style w:type="paragraph" w:styleId="7">
    <w:name w:val="toc 2"/>
    <w:basedOn w:val="1"/>
    <w:next w:val="1"/>
    <w:qFormat/>
    <w:uiPriority w:val="1"/>
    <w:pPr>
      <w:spacing w:before="161"/>
      <w:ind w:left="902"/>
    </w:pPr>
    <w:rPr>
      <w:rFonts w:ascii="宋体" w:hAnsi="宋体" w:cs="宋体"/>
      <w:sz w:val="24"/>
      <w:lang w:val="zh-CN" w:bidi="zh-CN"/>
    </w:rPr>
  </w:style>
  <w:style w:type="paragraph" w:styleId="8">
    <w:name w:val="Normal (Web)"/>
    <w:basedOn w:val="1"/>
    <w:qFormat/>
    <w:uiPriority w:val="0"/>
    <w:pPr>
      <w:spacing w:before="100" w:beforeAutospacing="1" w:after="100" w:afterAutospacing="1"/>
      <w:jc w:val="left"/>
    </w:pPr>
    <w:rPr>
      <w:kern w:val="0"/>
      <w:sz w:val="24"/>
    </w:rPr>
  </w:style>
  <w:style w:type="character" w:customStyle="1" w:styleId="11">
    <w:name w:val="批注框文本 字符"/>
    <w:basedOn w:val="10"/>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9" Type="http://schemas.openxmlformats.org/officeDocument/2006/relationships/fontTable" Target="fontTable.xml"/><Relationship Id="rId48" Type="http://schemas.openxmlformats.org/officeDocument/2006/relationships/numbering" Target="numbering.xml"/><Relationship Id="rId47" Type="http://schemas.openxmlformats.org/officeDocument/2006/relationships/customXml" Target="../customXml/item1.xml"/><Relationship Id="rId46" Type="http://schemas.openxmlformats.org/officeDocument/2006/relationships/chart" Target="charts/chart37.xml"/><Relationship Id="rId45" Type="http://schemas.openxmlformats.org/officeDocument/2006/relationships/chart" Target="charts/chart36.xml"/><Relationship Id="rId44" Type="http://schemas.openxmlformats.org/officeDocument/2006/relationships/chart" Target="charts/chart35.xml"/><Relationship Id="rId43" Type="http://schemas.openxmlformats.org/officeDocument/2006/relationships/chart" Target="charts/chart34.xml"/><Relationship Id="rId42" Type="http://schemas.openxmlformats.org/officeDocument/2006/relationships/chart" Target="charts/chart33.xml"/><Relationship Id="rId41" Type="http://schemas.openxmlformats.org/officeDocument/2006/relationships/chart" Target="charts/chart32.xml"/><Relationship Id="rId40" Type="http://schemas.openxmlformats.org/officeDocument/2006/relationships/chart" Target="charts/chart31.xml"/><Relationship Id="rId4" Type="http://schemas.openxmlformats.org/officeDocument/2006/relationships/footer" Target="footer1.xml"/><Relationship Id="rId39" Type="http://schemas.openxmlformats.org/officeDocument/2006/relationships/chart" Target="charts/chart30.xml"/><Relationship Id="rId38" Type="http://schemas.openxmlformats.org/officeDocument/2006/relationships/chart" Target="charts/chart29.xml"/><Relationship Id="rId37" Type="http://schemas.openxmlformats.org/officeDocument/2006/relationships/chart" Target="charts/chart28.xml"/><Relationship Id="rId36" Type="http://schemas.openxmlformats.org/officeDocument/2006/relationships/chart" Target="charts/chart27.xml"/><Relationship Id="rId35" Type="http://schemas.openxmlformats.org/officeDocument/2006/relationships/chart" Target="charts/chart26.xml"/><Relationship Id="rId34" Type="http://schemas.openxmlformats.org/officeDocument/2006/relationships/chart" Target="charts/chart25.xml"/><Relationship Id="rId33" Type="http://schemas.openxmlformats.org/officeDocument/2006/relationships/chart" Target="charts/chart24.xml"/><Relationship Id="rId32" Type="http://schemas.openxmlformats.org/officeDocument/2006/relationships/chart" Target="charts/chart23.xml"/><Relationship Id="rId31" Type="http://schemas.openxmlformats.org/officeDocument/2006/relationships/chart" Target="charts/chart22.xml"/><Relationship Id="rId30" Type="http://schemas.openxmlformats.org/officeDocument/2006/relationships/chart" Target="charts/chart21.xml"/><Relationship Id="rId3" Type="http://schemas.openxmlformats.org/officeDocument/2006/relationships/header" Target="header1.xml"/><Relationship Id="rId29" Type="http://schemas.openxmlformats.org/officeDocument/2006/relationships/chart" Target="charts/chart20.xml"/><Relationship Id="rId28" Type="http://schemas.openxmlformats.org/officeDocument/2006/relationships/chart" Target="charts/chart19.xml"/><Relationship Id="rId27" Type="http://schemas.openxmlformats.org/officeDocument/2006/relationships/chart" Target="charts/chart18.xml"/><Relationship Id="rId26" Type="http://schemas.openxmlformats.org/officeDocument/2006/relationships/chart" Target="charts/chart17.xml"/><Relationship Id="rId25" Type="http://schemas.openxmlformats.org/officeDocument/2006/relationships/chart" Target="charts/chart16.xml"/><Relationship Id="rId24" Type="http://schemas.openxmlformats.org/officeDocument/2006/relationships/chart" Target="charts/chart15.xml"/><Relationship Id="rId23" Type="http://schemas.openxmlformats.org/officeDocument/2006/relationships/chart" Target="charts/chart14.xml"/><Relationship Id="rId22" Type="http://schemas.openxmlformats.org/officeDocument/2006/relationships/chart" Target="charts/chart13.xml"/><Relationship Id="rId21" Type="http://schemas.openxmlformats.org/officeDocument/2006/relationships/chart" Target="charts/chart12.xml"/><Relationship Id="rId20" Type="http://schemas.openxmlformats.org/officeDocument/2006/relationships/chart" Target="charts/chart11.xml"/><Relationship Id="rId2" Type="http://schemas.openxmlformats.org/officeDocument/2006/relationships/settings" Target="settings.xml"/><Relationship Id="rId19" Type="http://schemas.openxmlformats.org/officeDocument/2006/relationships/chart" Target="charts/chart10.xml"/><Relationship Id="rId18" Type="http://schemas.openxmlformats.org/officeDocument/2006/relationships/chart" Target="charts/chart9.xml"/><Relationship Id="rId17" Type="http://schemas.openxmlformats.org/officeDocument/2006/relationships/chart" Target="charts/chart8.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31532;&#19977;&#37096;&#20998;&#25968;&#2545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31532;&#19977;&#37096;&#20998;&#25968;&#2545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31532;&#19977;&#37096;&#20998;&#25968;&#2545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31532;&#19977;&#37096;&#20998;&#25968;&#25454;.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31532;&#19977;&#37096;&#20998;&#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31532;&#19977;&#37096;&#20998;&#25968;&#25454;.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31532;&#19977;&#37096;&#20998;&#25968;&#25454;.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31532;&#19977;&#37096;&#20998;&#25968;&#25454;.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31532;&#19977;&#37096;&#20998;&#25968;&#25454;.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31532;&#19977;&#37096;&#20998;&#25968;&#25454;.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31532;&#19977;&#37096;&#20998;&#25968;&#25454;.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31532;&#19977;&#37096;&#20998;&#25968;&#25454;.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31532;&#19977;&#37096;&#20998;&#25968;&#2545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A&#28504;&#20339;&#32494;\2019.11.4\&#39640;&#26657;&#20107;&#39033;\2019\&#31435;&#36798;2019\&#31435;&#36798;&#25968;&#25454;&#22270;&#34920;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28504;&#20339;&#32494;\2019.11.4\&#39640;&#26657;&#20107;&#39033;\2019\&#31435;&#36798;2019\&#31435;&#36798;&#25968;&#25454;&#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'[工作簿1]图1-1'!$B$1</c:f>
              <c:strCache>
                <c:ptCount val="1"/>
                <c:pt idx="0">
                  <c:v>生源数</c:v>
                </c:pt>
              </c:strCache>
            </c:strRef>
          </c:tx>
          <c:spPr>
            <a:solidFill>
              <a:schemeClr val="accent1">
                <a:lumMod val="75000"/>
              </a:schemeClr>
            </a:solidFill>
            <a:ln>
              <a:noFill/>
            </a:ln>
            <a:effectLst/>
          </c:spPr>
          <c:invertIfNegative val="0"/>
          <c:dLbls>
            <c:dLbl>
              <c:idx val="0"/>
              <c:layout>
                <c:manualLayout>
                  <c:x val="-0.0081944444444444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3888888888889"/>
                  <c:y val="0.01712962962962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138888888888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222222222222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'[工作簿1]图1-1'!$A$2:$A$5</c:f>
              <c:strCache>
                <c:ptCount val="4"/>
                <c:pt idx="0">
                  <c:v>2019届</c:v>
                </c:pt>
                <c:pt idx="1">
                  <c:v>2018届</c:v>
                </c:pt>
                <c:pt idx="2">
                  <c:v>2017届</c:v>
                </c:pt>
                <c:pt idx="3">
                  <c:v>2016届</c:v>
                </c:pt>
              </c:strCache>
            </c:strRef>
          </c:cat>
          <c:val>
            <c:numRef>
              <c:f>'[工作簿1]图1-1'!$B$2:$B$5</c:f>
              <c:numCache>
                <c:formatCode>General</c:formatCode>
                <c:ptCount val="4"/>
                <c:pt idx="0">
                  <c:v>2366</c:v>
                </c:pt>
                <c:pt idx="1">
                  <c:v>2174</c:v>
                </c:pt>
                <c:pt idx="2">
                  <c:v>2045</c:v>
                </c:pt>
                <c:pt idx="3">
                  <c:v>1715</c:v>
                </c:pt>
              </c:numCache>
            </c:numRef>
          </c:val>
        </c:ser>
        <c:ser>
          <c:idx val="1"/>
          <c:order val="1"/>
          <c:tx>
            <c:strRef>
              <c:f>'[工作簿1]图1-1'!$C$1</c:f>
              <c:strCache>
                <c:ptCount val="1"/>
                <c:pt idx="0">
                  <c:v>毕业人数</c:v>
                </c:pt>
              </c:strCache>
            </c:strRef>
          </c:tx>
          <c:spPr>
            <a:solidFill>
              <a:schemeClr val="accent2"/>
            </a:solidFill>
            <a:ln>
              <a:noFill/>
            </a:ln>
            <a:effectLst/>
          </c:spPr>
          <c:invertIfNegative val="0"/>
          <c:dLbls>
            <c:dLbl>
              <c:idx val="0"/>
              <c:layout>
                <c:manualLayout>
                  <c:x val="0.01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4166666666667"/>
                  <c:y val="0.00324074074074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'[工作簿1]图1-1'!$A$2:$A$5</c:f>
              <c:strCache>
                <c:ptCount val="4"/>
                <c:pt idx="0">
                  <c:v>2019届</c:v>
                </c:pt>
                <c:pt idx="1">
                  <c:v>2018届</c:v>
                </c:pt>
                <c:pt idx="2">
                  <c:v>2017届</c:v>
                </c:pt>
                <c:pt idx="3">
                  <c:v>2016届</c:v>
                </c:pt>
              </c:strCache>
            </c:strRef>
          </c:cat>
          <c:val>
            <c:numRef>
              <c:f>'[工作簿1]图1-1'!$C$2:$C$5</c:f>
              <c:numCache>
                <c:formatCode>General</c:formatCode>
                <c:ptCount val="4"/>
                <c:pt idx="0">
                  <c:v>2337</c:v>
                </c:pt>
                <c:pt idx="1">
                  <c:v>2113</c:v>
                </c:pt>
                <c:pt idx="2">
                  <c:v>2011</c:v>
                </c:pt>
                <c:pt idx="3">
                  <c:v>1692</c:v>
                </c:pt>
              </c:numCache>
            </c:numRef>
          </c:val>
        </c:ser>
        <c:dLbls>
          <c:showLegendKey val="0"/>
          <c:showVal val="1"/>
          <c:showCatName val="0"/>
          <c:showSerName val="0"/>
          <c:showPercent val="0"/>
          <c:showBubbleSize val="0"/>
        </c:dLbls>
        <c:gapWidth val="219"/>
        <c:overlap val="-27"/>
        <c:axId val="142242176"/>
        <c:axId val="142244480"/>
      </c:barChart>
      <c:catAx>
        <c:axId val="1422421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2244480"/>
        <c:crosses val="autoZero"/>
        <c:auto val="1"/>
        <c:lblAlgn val="ctr"/>
        <c:lblOffset val="100"/>
        <c:noMultiLvlLbl val="0"/>
      </c:catAx>
      <c:valAx>
        <c:axId val="142244480"/>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224217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Entry>
      <c:legendEntry>
        <c:idx val="1"/>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Entry>
      <c:layout/>
      <c:overlay val="0"/>
      <c:spPr>
        <a:noFill/>
        <a:ln>
          <a:noFill/>
        </a:ln>
        <a:effectLst/>
      </c:spPr>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'[立达数据图表.xlsx]图2-2'!$A$3:$A$8</c:f>
              <c:strCache>
                <c:ptCount val="6"/>
                <c:pt idx="0">
                  <c:v>对口工作不符合兴趣</c:v>
                </c:pt>
                <c:pt idx="1">
                  <c:v>对口工作就业机会少</c:v>
                </c:pt>
                <c:pt idx="2">
                  <c:v>对口工作收入待遇较低</c:v>
                </c:pt>
                <c:pt idx="3">
                  <c:v>对口工作的要求过高</c:v>
                </c:pt>
                <c:pt idx="4">
                  <c:v>对口工作环境不好</c:v>
                </c:pt>
                <c:pt idx="5">
                  <c:v>其他原因</c:v>
                </c:pt>
              </c:strCache>
            </c:strRef>
          </c:cat>
          <c:val>
            <c:numRef>
              <c:f>'[立达数据图表.xlsx]图2-2'!$B$3:$B$8</c:f>
              <c:numCache>
                <c:formatCode>0.00%</c:formatCode>
                <c:ptCount val="6"/>
                <c:pt idx="0">
                  <c:v>0.4098</c:v>
                </c:pt>
                <c:pt idx="1">
                  <c:v>0.1508</c:v>
                </c:pt>
                <c:pt idx="2">
                  <c:v>0.1405</c:v>
                </c:pt>
                <c:pt idx="3">
                  <c:v>0.1528</c:v>
                </c:pt>
                <c:pt idx="4">
                  <c:v>0.0869</c:v>
                </c:pt>
                <c:pt idx="5">
                  <c:v>0.0592</c:v>
                </c:pt>
              </c:numCache>
            </c:numRef>
          </c:val>
        </c:ser>
        <c:dLbls>
          <c:showLegendKey val="0"/>
          <c:showVal val="1"/>
          <c:showCatName val="0"/>
          <c:showSerName val="0"/>
          <c:showPercent val="0"/>
          <c:showBubbleSize val="0"/>
        </c:dLbls>
        <c:gapWidth val="182"/>
        <c:axId val="170428672"/>
        <c:axId val="170442752"/>
      </c:barChart>
      <c:catAx>
        <c:axId val="170428672"/>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0442752"/>
        <c:crosses val="autoZero"/>
        <c:auto val="1"/>
        <c:lblAlgn val="ctr"/>
        <c:lblOffset val="100"/>
        <c:noMultiLvlLbl val="0"/>
      </c:catAx>
      <c:valAx>
        <c:axId val="170442752"/>
        <c:scaling>
          <c:orientation val="minMax"/>
        </c:scaling>
        <c:delete val="1"/>
        <c:axPos val="b"/>
        <c:numFmt formatCode="0.00%" sourceLinked="1"/>
        <c:majorTickMark val="out"/>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0428672"/>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'[立达数据图表.xlsx]图2-3'!$K$12:$K$16</c:f>
              <c:strCache>
                <c:ptCount val="5"/>
                <c:pt idx="0">
                  <c:v>非常符合</c:v>
                </c:pt>
                <c:pt idx="1">
                  <c:v>比较符合</c:v>
                </c:pt>
                <c:pt idx="2">
                  <c:v>一般</c:v>
                </c:pt>
                <c:pt idx="3">
                  <c:v>比较符合</c:v>
                </c:pt>
                <c:pt idx="4">
                  <c:v>非常不符合</c:v>
                </c:pt>
              </c:strCache>
            </c:strRef>
          </c:cat>
          <c:val>
            <c:numRef>
              <c:f>'[立达数据图表.xlsx]图2-3'!$L$12:$L$16</c:f>
              <c:numCache>
                <c:formatCode>0.00%</c:formatCode>
                <c:ptCount val="5"/>
                <c:pt idx="0">
                  <c:v>0.2048</c:v>
                </c:pt>
                <c:pt idx="1">
                  <c:v>0.4032</c:v>
                </c:pt>
                <c:pt idx="2">
                  <c:v>0.3346</c:v>
                </c:pt>
                <c:pt idx="3">
                  <c:v>0.0392</c:v>
                </c:pt>
                <c:pt idx="4">
                  <c:v>0.0182</c:v>
                </c:pt>
              </c:numCache>
            </c:numRef>
          </c:val>
        </c:ser>
        <c:dLbls>
          <c:showLegendKey val="0"/>
          <c:showVal val="1"/>
          <c:showCatName val="0"/>
          <c:showSerName val="0"/>
          <c:showPercent val="0"/>
          <c:showBubbleSize val="0"/>
        </c:dLbls>
        <c:gapWidth val="219"/>
        <c:overlap val="-27"/>
        <c:axId val="170624896"/>
        <c:axId val="170626432"/>
      </c:barChart>
      <c:catAx>
        <c:axId val="1706248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0626432"/>
        <c:crosses val="autoZero"/>
        <c:auto val="1"/>
        <c:lblAlgn val="ctr"/>
        <c:lblOffset val="100"/>
        <c:noMultiLvlLbl val="0"/>
      </c:catAx>
      <c:valAx>
        <c:axId val="170626432"/>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0624896"/>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'[立达数据图表.xlsx]图2-3'!$A$1:$A$5</c:f>
              <c:strCache>
                <c:ptCount val="5"/>
                <c:pt idx="0">
                  <c:v>非常不满意</c:v>
                </c:pt>
                <c:pt idx="1">
                  <c:v>比较不满意</c:v>
                </c:pt>
                <c:pt idx="2">
                  <c:v>一般</c:v>
                </c:pt>
                <c:pt idx="3">
                  <c:v>比较满意</c:v>
                </c:pt>
                <c:pt idx="4">
                  <c:v>非常满意</c:v>
                </c:pt>
              </c:strCache>
            </c:strRef>
          </c:cat>
          <c:val>
            <c:numRef>
              <c:f>'[立达数据图表.xlsx]图2-3'!$B$1:$B$5</c:f>
              <c:numCache>
                <c:formatCode>0.00%</c:formatCode>
                <c:ptCount val="5"/>
                <c:pt idx="0">
                  <c:v>0.0804</c:v>
                </c:pt>
                <c:pt idx="1">
                  <c:v>0.0803</c:v>
                </c:pt>
                <c:pt idx="2">
                  <c:v>0.2154</c:v>
                </c:pt>
                <c:pt idx="3">
                  <c:v>0.2926</c:v>
                </c:pt>
                <c:pt idx="4">
                  <c:v>0.3313</c:v>
                </c:pt>
              </c:numCache>
            </c:numRef>
          </c:val>
        </c:ser>
        <c:dLbls>
          <c:showLegendKey val="0"/>
          <c:showVal val="1"/>
          <c:showCatName val="0"/>
          <c:showSerName val="0"/>
          <c:showPercent val="0"/>
          <c:showBubbleSize val="0"/>
        </c:dLbls>
        <c:gapWidth val="182"/>
        <c:axId val="170685952"/>
        <c:axId val="170687488"/>
      </c:barChart>
      <c:catAx>
        <c:axId val="1706859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0687488"/>
        <c:crosses val="autoZero"/>
        <c:auto val="1"/>
        <c:lblAlgn val="ctr"/>
        <c:lblOffset val="100"/>
        <c:noMultiLvlLbl val="0"/>
      </c:catAx>
      <c:valAx>
        <c:axId val="170687488"/>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0685952"/>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spPr/>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[工作簿1]Sheet1!$I$11:$I$17</c:f>
              <c:strCache>
                <c:ptCount val="7"/>
                <c:pt idx="0">
                  <c:v>3500元以下</c:v>
                </c:pt>
                <c:pt idx="1">
                  <c:v>3501-4500元</c:v>
                </c:pt>
                <c:pt idx="2">
                  <c:v>4501-5500元</c:v>
                </c:pt>
                <c:pt idx="3">
                  <c:v>5501-7500元</c:v>
                </c:pt>
                <c:pt idx="4">
                  <c:v>7501-10000元</c:v>
                </c:pt>
                <c:pt idx="5">
                  <c:v>10000-20000元</c:v>
                </c:pt>
                <c:pt idx="6">
                  <c:v>20000元以上</c:v>
                </c:pt>
              </c:strCache>
            </c:strRef>
          </c:cat>
          <c:val>
            <c:numRef>
              <c:f>[工作簿1]Sheet1!$J$11:$J$17</c:f>
              <c:numCache>
                <c:formatCode>0.00%</c:formatCode>
                <c:ptCount val="7"/>
                <c:pt idx="0">
                  <c:v>0.0694</c:v>
                </c:pt>
                <c:pt idx="1">
                  <c:v>0.3249</c:v>
                </c:pt>
                <c:pt idx="2">
                  <c:v>0.4662</c:v>
                </c:pt>
                <c:pt idx="3">
                  <c:v>0.0924</c:v>
                </c:pt>
                <c:pt idx="4">
                  <c:v>0.0412</c:v>
                </c:pt>
                <c:pt idx="5">
                  <c:v>0.0048</c:v>
                </c:pt>
                <c:pt idx="6">
                  <c:v>0.0011</c:v>
                </c:pt>
              </c:numCache>
            </c:numRef>
          </c:val>
        </c:ser>
        <c:dLbls>
          <c:showLegendKey val="0"/>
          <c:showVal val="1"/>
          <c:showCatName val="0"/>
          <c:showSerName val="0"/>
          <c:showPercent val="0"/>
          <c:showBubbleSize val="0"/>
        </c:dLbls>
        <c:gapWidth val="182"/>
        <c:overlap val="0"/>
        <c:axId val="593491591"/>
        <c:axId val="81883068"/>
      </c:barChart>
      <c:catAx>
        <c:axId val="593491591"/>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81883068"/>
        <c:crosses val="autoZero"/>
        <c:auto val="1"/>
        <c:lblAlgn val="ctr"/>
        <c:lblOffset val="100"/>
        <c:noMultiLvlLbl val="0"/>
      </c:catAx>
      <c:valAx>
        <c:axId val="81883068"/>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593491591"/>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'[立达数据图表.xlsx]图2-5'!$D$10:$D$14</c:f>
              <c:strCache>
                <c:ptCount val="5"/>
                <c:pt idx="0">
                  <c:v>非常满意</c:v>
                </c:pt>
                <c:pt idx="1">
                  <c:v>比较满意</c:v>
                </c:pt>
                <c:pt idx="2">
                  <c:v>一般</c:v>
                </c:pt>
                <c:pt idx="3">
                  <c:v>比较不满意</c:v>
                </c:pt>
                <c:pt idx="4">
                  <c:v>非常不满意</c:v>
                </c:pt>
              </c:strCache>
            </c:strRef>
          </c:cat>
          <c:val>
            <c:numRef>
              <c:f>'[立达数据图表.xlsx]图2-5'!$E$10:$E$14</c:f>
              <c:numCache>
                <c:formatCode>0.00%</c:formatCode>
                <c:ptCount val="5"/>
                <c:pt idx="0">
                  <c:v>0.3058</c:v>
                </c:pt>
                <c:pt idx="1">
                  <c:v>0.2698</c:v>
                </c:pt>
                <c:pt idx="2">
                  <c:v>0.3046</c:v>
                </c:pt>
                <c:pt idx="3">
                  <c:v>0.105</c:v>
                </c:pt>
                <c:pt idx="4">
                  <c:v>0.0148</c:v>
                </c:pt>
              </c:numCache>
            </c:numRef>
          </c:val>
        </c:ser>
        <c:dLbls>
          <c:showLegendKey val="0"/>
          <c:showVal val="1"/>
          <c:showCatName val="0"/>
          <c:showSerName val="0"/>
          <c:showPercent val="0"/>
          <c:showBubbleSize val="0"/>
        </c:dLbls>
        <c:gapWidth val="219"/>
        <c:overlap val="-27"/>
        <c:axId val="170968960"/>
        <c:axId val="170970496"/>
      </c:barChart>
      <c:catAx>
        <c:axId val="1709689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0970496"/>
        <c:crosses val="autoZero"/>
        <c:auto val="1"/>
        <c:lblAlgn val="ctr"/>
        <c:lblOffset val="100"/>
        <c:noMultiLvlLbl val="0"/>
      </c:catAx>
      <c:valAx>
        <c:axId val="170970496"/>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0968960"/>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[立达数据图表.xlsx]Sheet11!$C$8:$C$12</c:f>
              <c:strCache>
                <c:ptCount val="5"/>
                <c:pt idx="0">
                  <c:v>非常满意</c:v>
                </c:pt>
                <c:pt idx="1">
                  <c:v>比较满意</c:v>
                </c:pt>
                <c:pt idx="2">
                  <c:v>一般</c:v>
                </c:pt>
                <c:pt idx="3">
                  <c:v>比较不满意</c:v>
                </c:pt>
                <c:pt idx="4">
                  <c:v>非常不满意</c:v>
                </c:pt>
              </c:strCache>
            </c:strRef>
          </c:cat>
          <c:val>
            <c:numRef>
              <c:f>[立达数据图表.xlsx]Sheet11!$D$8:$D$12</c:f>
              <c:numCache>
                <c:formatCode>0.00%</c:formatCode>
                <c:ptCount val="5"/>
                <c:pt idx="0">
                  <c:v>0.3196</c:v>
                </c:pt>
                <c:pt idx="1">
                  <c:v>0.2748</c:v>
                </c:pt>
                <c:pt idx="2">
                  <c:v>0.3011</c:v>
                </c:pt>
                <c:pt idx="3">
                  <c:v>0.0964</c:v>
                </c:pt>
                <c:pt idx="4">
                  <c:v>0.0081</c:v>
                </c:pt>
              </c:numCache>
            </c:numRef>
          </c:val>
        </c:ser>
        <c:dLbls>
          <c:showLegendKey val="0"/>
          <c:showVal val="1"/>
          <c:showCatName val="0"/>
          <c:showSerName val="0"/>
          <c:showPercent val="0"/>
          <c:showBubbleSize val="0"/>
        </c:dLbls>
        <c:gapWidth val="219"/>
        <c:overlap val="-27"/>
        <c:axId val="171025920"/>
        <c:axId val="171027456"/>
      </c:barChart>
      <c:catAx>
        <c:axId val="171025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1027456"/>
        <c:crosses val="autoZero"/>
        <c:auto val="1"/>
        <c:lblAlgn val="ctr"/>
        <c:lblOffset val="100"/>
        <c:noMultiLvlLbl val="0"/>
      </c:catAx>
      <c:valAx>
        <c:axId val="171027456"/>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1025920"/>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'[立达数据图表.xlsx]图2-6'!$B$4:$B$8</c:f>
              <c:strCache>
                <c:ptCount val="5"/>
                <c:pt idx="0">
                  <c:v>非常满意</c:v>
                </c:pt>
                <c:pt idx="1">
                  <c:v>比较满意</c:v>
                </c:pt>
                <c:pt idx="2">
                  <c:v>一般</c:v>
                </c:pt>
                <c:pt idx="3">
                  <c:v>比较不满意</c:v>
                </c:pt>
                <c:pt idx="4">
                  <c:v>非常不满意</c:v>
                </c:pt>
              </c:strCache>
            </c:strRef>
          </c:cat>
          <c:val>
            <c:numRef>
              <c:f>'[立达数据图表.xlsx]图2-6'!$C$4:$C$8</c:f>
              <c:numCache>
                <c:formatCode>0.00%</c:formatCode>
                <c:ptCount val="5"/>
                <c:pt idx="0">
                  <c:v>0.3846</c:v>
                </c:pt>
                <c:pt idx="1">
                  <c:v>0.3027</c:v>
                </c:pt>
                <c:pt idx="2">
                  <c:v>0.2132</c:v>
                </c:pt>
                <c:pt idx="3">
                  <c:v>0.0509</c:v>
                </c:pt>
                <c:pt idx="4">
                  <c:v>0.0486</c:v>
                </c:pt>
              </c:numCache>
            </c:numRef>
          </c:val>
        </c:ser>
        <c:dLbls>
          <c:showLegendKey val="0"/>
          <c:showVal val="1"/>
          <c:showCatName val="0"/>
          <c:showSerName val="0"/>
          <c:showPercent val="0"/>
          <c:showBubbleSize val="0"/>
        </c:dLbls>
        <c:gapWidth val="219"/>
        <c:overlap val="-27"/>
        <c:axId val="171353216"/>
        <c:axId val="171354752"/>
      </c:barChart>
      <c:catAx>
        <c:axId val="1713532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1354752"/>
        <c:crosses val="autoZero"/>
        <c:auto val="1"/>
        <c:lblAlgn val="ctr"/>
        <c:lblOffset val="100"/>
        <c:noMultiLvlLbl val="0"/>
      </c:catAx>
      <c:valAx>
        <c:axId val="171354752"/>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1353216"/>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'[立达数据图表.xlsx]图2-7'!$A$1:$A$5</c:f>
              <c:strCache>
                <c:ptCount val="5"/>
                <c:pt idx="0">
                  <c:v>非常满意</c:v>
                </c:pt>
                <c:pt idx="1">
                  <c:v>比较满意</c:v>
                </c:pt>
                <c:pt idx="2">
                  <c:v>一般</c:v>
                </c:pt>
                <c:pt idx="3">
                  <c:v>比较不满意</c:v>
                </c:pt>
                <c:pt idx="4">
                  <c:v>非常不满意</c:v>
                </c:pt>
              </c:strCache>
            </c:strRef>
          </c:cat>
          <c:val>
            <c:numRef>
              <c:f>'[立达数据图表.xlsx]图2-7'!$B$1:$B$5</c:f>
              <c:numCache>
                <c:formatCode>0.00%</c:formatCode>
                <c:ptCount val="5"/>
                <c:pt idx="0">
                  <c:v>0.3092</c:v>
                </c:pt>
                <c:pt idx="1">
                  <c:v>0.3018</c:v>
                </c:pt>
                <c:pt idx="2">
                  <c:v>0.2706</c:v>
                </c:pt>
                <c:pt idx="3">
                  <c:v>0.0943</c:v>
                </c:pt>
                <c:pt idx="4">
                  <c:v>0.0241</c:v>
                </c:pt>
              </c:numCache>
            </c:numRef>
          </c:val>
        </c:ser>
        <c:dLbls>
          <c:showLegendKey val="0"/>
          <c:showVal val="1"/>
          <c:showCatName val="0"/>
          <c:showSerName val="0"/>
          <c:showPercent val="0"/>
          <c:showBubbleSize val="0"/>
        </c:dLbls>
        <c:gapWidth val="219"/>
        <c:overlap val="-27"/>
        <c:axId val="171688704"/>
        <c:axId val="171690240"/>
      </c:barChart>
      <c:catAx>
        <c:axId val="1716887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1690240"/>
        <c:crosses val="autoZero"/>
        <c:auto val="1"/>
        <c:lblAlgn val="ctr"/>
        <c:lblOffset val="100"/>
        <c:noMultiLvlLbl val="0"/>
      </c:catAx>
      <c:valAx>
        <c:axId val="171690240"/>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1688704"/>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[立达数据图表.xlsx]Sheet12!$A$1:$A$5</c:f>
              <c:strCache>
                <c:ptCount val="5"/>
                <c:pt idx="0">
                  <c:v>非常满意</c:v>
                </c:pt>
                <c:pt idx="1">
                  <c:v>比较满意</c:v>
                </c:pt>
                <c:pt idx="2">
                  <c:v>一般</c:v>
                </c:pt>
                <c:pt idx="3">
                  <c:v>比较不满意</c:v>
                </c:pt>
                <c:pt idx="4">
                  <c:v>非常不满意</c:v>
                </c:pt>
              </c:strCache>
            </c:strRef>
          </c:cat>
          <c:val>
            <c:numRef>
              <c:f>[立达数据图表.xlsx]Sheet12!$B$1:$B$5</c:f>
              <c:numCache>
                <c:formatCode>0.00%</c:formatCode>
                <c:ptCount val="5"/>
                <c:pt idx="0">
                  <c:v>0.4013</c:v>
                </c:pt>
                <c:pt idx="1">
                  <c:v>0.2946</c:v>
                </c:pt>
                <c:pt idx="2">
                  <c:v>0.221</c:v>
                </c:pt>
                <c:pt idx="3">
                  <c:v>0.0346</c:v>
                </c:pt>
                <c:pt idx="4">
                  <c:v>0.0485</c:v>
                </c:pt>
              </c:numCache>
            </c:numRef>
          </c:val>
        </c:ser>
        <c:dLbls>
          <c:showLegendKey val="0"/>
          <c:showVal val="1"/>
          <c:showCatName val="0"/>
          <c:showSerName val="0"/>
          <c:showPercent val="0"/>
          <c:showBubbleSize val="0"/>
        </c:dLbls>
        <c:gapWidth val="219"/>
        <c:overlap val="-27"/>
        <c:axId val="171721088"/>
        <c:axId val="171722624"/>
      </c:barChart>
      <c:catAx>
        <c:axId val="1717210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1722624"/>
        <c:crosses val="autoZero"/>
        <c:auto val="1"/>
        <c:lblAlgn val="ctr"/>
        <c:lblOffset val="100"/>
        <c:noMultiLvlLbl val="0"/>
      </c:catAx>
      <c:valAx>
        <c:axId val="171722624"/>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1721088"/>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[立达数据图表.xlsx]Sheet13!$C$5:$C$9</c:f>
              <c:strCache>
                <c:ptCount val="5"/>
                <c:pt idx="0">
                  <c:v>非常满意</c:v>
                </c:pt>
                <c:pt idx="1">
                  <c:v>比较满意</c:v>
                </c:pt>
                <c:pt idx="2">
                  <c:v>一般</c:v>
                </c:pt>
                <c:pt idx="3">
                  <c:v>比较不满意</c:v>
                </c:pt>
                <c:pt idx="4">
                  <c:v>非常不满意</c:v>
                </c:pt>
              </c:strCache>
            </c:strRef>
          </c:cat>
          <c:val>
            <c:numRef>
              <c:f>[立达数据图表.xlsx]Sheet13!$D$5:$D$9</c:f>
              <c:numCache>
                <c:formatCode>0.00%</c:formatCode>
                <c:ptCount val="5"/>
                <c:pt idx="0">
                  <c:v>0.3916</c:v>
                </c:pt>
                <c:pt idx="1">
                  <c:v>0.2885</c:v>
                </c:pt>
                <c:pt idx="2">
                  <c:v>0.2333</c:v>
                </c:pt>
                <c:pt idx="3">
                  <c:v>0.0297</c:v>
                </c:pt>
                <c:pt idx="4">
                  <c:v>0.0569</c:v>
                </c:pt>
              </c:numCache>
            </c:numRef>
          </c:val>
        </c:ser>
        <c:dLbls>
          <c:showLegendKey val="0"/>
          <c:showVal val="1"/>
          <c:showCatName val="0"/>
          <c:showSerName val="0"/>
          <c:showPercent val="0"/>
          <c:showBubbleSize val="0"/>
        </c:dLbls>
        <c:gapWidth val="219"/>
        <c:overlap val="-27"/>
        <c:axId val="171761664"/>
        <c:axId val="171763200"/>
      </c:barChart>
      <c:catAx>
        <c:axId val="1717616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1763200"/>
        <c:crosses val="autoZero"/>
        <c:auto val="1"/>
        <c:lblAlgn val="ctr"/>
        <c:lblOffset val="100"/>
        <c:noMultiLvlLbl val="0"/>
      </c:catAx>
      <c:valAx>
        <c:axId val="171763200"/>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1761664"/>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'[立达数据图表.xlsx]图1-2'!$A$2:$A$6</c:f>
              <c:strCache>
                <c:ptCount val="5"/>
                <c:pt idx="0">
                  <c:v>基础与外语学院</c:v>
                </c:pt>
                <c:pt idx="1">
                  <c:v>护理学院</c:v>
                </c:pt>
                <c:pt idx="2">
                  <c:v>艺术学院</c:v>
                </c:pt>
                <c:pt idx="3">
                  <c:v>经管学院</c:v>
                </c:pt>
                <c:pt idx="4">
                  <c:v>信息学院</c:v>
                </c:pt>
              </c:strCache>
            </c:strRef>
          </c:cat>
          <c:val>
            <c:numRef>
              <c:f>'[立达数据图表.xlsx]图1-2'!$C$2:$C$6</c:f>
              <c:numCache>
                <c:formatCode>0.00%</c:formatCode>
                <c:ptCount val="5"/>
                <c:pt idx="0">
                  <c:v>0.0278134360290971</c:v>
                </c:pt>
                <c:pt idx="1">
                  <c:v>0.2798459563543</c:v>
                </c:pt>
                <c:pt idx="2">
                  <c:v>0.130081300813008</c:v>
                </c:pt>
                <c:pt idx="3">
                  <c:v>0.418913136499786</c:v>
                </c:pt>
                <c:pt idx="4">
                  <c:v>0.143346170303808</c:v>
                </c:pt>
              </c:numCache>
            </c:numRef>
          </c:val>
        </c:ser>
        <c:dLbls>
          <c:showLegendKey val="0"/>
          <c:showVal val="1"/>
          <c:showCatName val="0"/>
          <c:showSerName val="0"/>
          <c:showPercent val="0"/>
          <c:showBubbleSize val="0"/>
        </c:dLbls>
        <c:gapWidth val="182"/>
        <c:axId val="146200832"/>
        <c:axId val="146307712"/>
      </c:barChart>
      <c:catAx>
        <c:axId val="1462008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6307712"/>
        <c:crosses val="autoZero"/>
        <c:auto val="1"/>
        <c:lblAlgn val="ctr"/>
        <c:lblOffset val="100"/>
        <c:noMultiLvlLbl val="0"/>
      </c:catAx>
      <c:valAx>
        <c:axId val="146307712"/>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6200832"/>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'[立达数据图表.xlsx]图2-9'!$A$1:$G$1</c:f>
              <c:strCache>
                <c:ptCount val="7"/>
                <c:pt idx="0">
                  <c:v>网络渠道</c:v>
                </c:pt>
                <c:pt idx="1">
                  <c:v>校外招聘会</c:v>
                </c:pt>
                <c:pt idx="2">
                  <c:v>校内招聘会</c:v>
                </c:pt>
                <c:pt idx="3">
                  <c:v>教师（含辅导员）推荐</c:v>
                </c:pt>
                <c:pt idx="4">
                  <c:v>宣讲会</c:v>
                </c:pt>
                <c:pt idx="5">
                  <c:v>校企合作</c:v>
                </c:pt>
                <c:pt idx="6">
                  <c:v>家庭渠道</c:v>
                </c:pt>
              </c:strCache>
            </c:strRef>
          </c:cat>
          <c:val>
            <c:numRef>
              <c:f>'[立达数据图表.xlsx]图2-9'!$A$2:$G$2</c:f>
              <c:numCache>
                <c:formatCode>0.00%</c:formatCode>
                <c:ptCount val="7"/>
                <c:pt idx="0">
                  <c:v>0.2946</c:v>
                </c:pt>
                <c:pt idx="1">
                  <c:v>0.1508</c:v>
                </c:pt>
                <c:pt idx="2">
                  <c:v>0.1913</c:v>
                </c:pt>
                <c:pt idx="3">
                  <c:v>0.0842</c:v>
                </c:pt>
                <c:pt idx="4">
                  <c:v>0.0705</c:v>
                </c:pt>
                <c:pt idx="5">
                  <c:v>0.0976</c:v>
                </c:pt>
                <c:pt idx="6">
                  <c:v>0.111</c:v>
                </c:pt>
              </c:numCache>
            </c:numRef>
          </c:val>
        </c:ser>
        <c:dLbls>
          <c:showLegendKey val="0"/>
          <c:showVal val="1"/>
          <c:showCatName val="0"/>
          <c:showSerName val="0"/>
          <c:showPercent val="0"/>
          <c:showBubbleSize val="0"/>
        </c:dLbls>
        <c:gapWidth val="182"/>
        <c:axId val="172016000"/>
        <c:axId val="172017536"/>
      </c:barChart>
      <c:catAx>
        <c:axId val="1720160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2017536"/>
        <c:crosses val="autoZero"/>
        <c:auto val="1"/>
        <c:lblAlgn val="ctr"/>
        <c:lblOffset val="100"/>
        <c:noMultiLvlLbl val="0"/>
      </c:catAx>
      <c:valAx>
        <c:axId val="172017536"/>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2016000"/>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[立达数据图表.xlsx]Sheet14!$A$1:$A$5</c:f>
              <c:strCache>
                <c:ptCount val="5"/>
                <c:pt idx="0">
                  <c:v>非常满意</c:v>
                </c:pt>
                <c:pt idx="1">
                  <c:v>比较满意</c:v>
                </c:pt>
                <c:pt idx="2">
                  <c:v>一般</c:v>
                </c:pt>
                <c:pt idx="3">
                  <c:v>比较不满意</c:v>
                </c:pt>
                <c:pt idx="4">
                  <c:v>非常不满意</c:v>
                </c:pt>
              </c:strCache>
            </c:strRef>
          </c:cat>
          <c:val>
            <c:numRef>
              <c:f>[立达数据图表.xlsx]Sheet14!$B$1:$B$5</c:f>
              <c:numCache>
                <c:formatCode>0.00%</c:formatCode>
                <c:ptCount val="5"/>
                <c:pt idx="0">
                  <c:v>0.2427</c:v>
                </c:pt>
                <c:pt idx="1">
                  <c:v>0.3492</c:v>
                </c:pt>
                <c:pt idx="2">
                  <c:v>0.3206</c:v>
                </c:pt>
                <c:pt idx="3">
                  <c:v>0.0365</c:v>
                </c:pt>
                <c:pt idx="4">
                  <c:v>0.051</c:v>
                </c:pt>
              </c:numCache>
            </c:numRef>
          </c:val>
        </c:ser>
        <c:dLbls>
          <c:showLegendKey val="0"/>
          <c:showVal val="1"/>
          <c:showCatName val="0"/>
          <c:showSerName val="0"/>
          <c:showPercent val="0"/>
          <c:showBubbleSize val="0"/>
        </c:dLbls>
        <c:gapWidth val="219"/>
        <c:overlap val="-27"/>
        <c:axId val="172904448"/>
        <c:axId val="172905984"/>
      </c:barChart>
      <c:catAx>
        <c:axId val="1729044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2905984"/>
        <c:crosses val="autoZero"/>
        <c:auto val="1"/>
        <c:lblAlgn val="ctr"/>
        <c:lblOffset val="100"/>
        <c:noMultiLvlLbl val="0"/>
      </c:catAx>
      <c:valAx>
        <c:axId val="172905984"/>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2904448"/>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[立达数据图表.xlsx]Sheet15!$I$4:$I$8</c:f>
              <c:strCache>
                <c:ptCount val="5"/>
                <c:pt idx="0">
                  <c:v>非常满意</c:v>
                </c:pt>
                <c:pt idx="1">
                  <c:v>比较满意</c:v>
                </c:pt>
                <c:pt idx="2">
                  <c:v>一般</c:v>
                </c:pt>
                <c:pt idx="3">
                  <c:v>比较不满意</c:v>
                </c:pt>
                <c:pt idx="4">
                  <c:v>非常不满意</c:v>
                </c:pt>
              </c:strCache>
            </c:strRef>
          </c:cat>
          <c:val>
            <c:numRef>
              <c:f>[立达数据图表.xlsx]Sheet15!$J$4:$J$8</c:f>
              <c:numCache>
                <c:formatCode>0.00%</c:formatCode>
                <c:ptCount val="5"/>
                <c:pt idx="0">
                  <c:v>0.2568</c:v>
                </c:pt>
                <c:pt idx="1">
                  <c:v>0.3613</c:v>
                </c:pt>
                <c:pt idx="2">
                  <c:v>0.3295</c:v>
                </c:pt>
                <c:pt idx="3">
                  <c:v>0.0291</c:v>
                </c:pt>
                <c:pt idx="4">
                  <c:v>0.0233</c:v>
                </c:pt>
              </c:numCache>
            </c:numRef>
          </c:val>
        </c:ser>
        <c:dLbls>
          <c:showLegendKey val="0"/>
          <c:showVal val="1"/>
          <c:showCatName val="0"/>
          <c:showSerName val="0"/>
          <c:showPercent val="0"/>
          <c:showBubbleSize val="0"/>
        </c:dLbls>
        <c:gapWidth val="182"/>
        <c:axId val="172932480"/>
        <c:axId val="172938368"/>
      </c:barChart>
      <c:catAx>
        <c:axId val="1729324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2938368"/>
        <c:crosses val="autoZero"/>
        <c:auto val="1"/>
        <c:lblAlgn val="ctr"/>
        <c:lblOffset val="100"/>
        <c:noMultiLvlLbl val="0"/>
      </c:catAx>
      <c:valAx>
        <c:axId val="172938368"/>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2932480"/>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[立达数据图表.xlsx]Sheet16!$A$1:$A$5</c:f>
              <c:strCache>
                <c:ptCount val="5"/>
                <c:pt idx="0">
                  <c:v>非常满意</c:v>
                </c:pt>
                <c:pt idx="1">
                  <c:v>比较满意</c:v>
                </c:pt>
                <c:pt idx="2">
                  <c:v>一般</c:v>
                </c:pt>
                <c:pt idx="3">
                  <c:v>比较不满意</c:v>
                </c:pt>
                <c:pt idx="4">
                  <c:v>非常不满意</c:v>
                </c:pt>
              </c:strCache>
            </c:strRef>
          </c:cat>
          <c:val>
            <c:numRef>
              <c:f>[立达数据图表.xlsx]Sheet16!$B$1:$B$5</c:f>
              <c:numCache>
                <c:formatCode>0.00%</c:formatCode>
                <c:ptCount val="5"/>
                <c:pt idx="0">
                  <c:v>0.3046</c:v>
                </c:pt>
                <c:pt idx="1">
                  <c:v>0.4513</c:v>
                </c:pt>
                <c:pt idx="2">
                  <c:v>0.2089</c:v>
                </c:pt>
                <c:pt idx="3">
                  <c:v>0.0283</c:v>
                </c:pt>
                <c:pt idx="4">
                  <c:v>0.0069</c:v>
                </c:pt>
              </c:numCache>
            </c:numRef>
          </c:val>
        </c:ser>
        <c:dLbls>
          <c:showLegendKey val="0"/>
          <c:showVal val="1"/>
          <c:showCatName val="0"/>
          <c:showSerName val="0"/>
          <c:showPercent val="0"/>
          <c:showBubbleSize val="0"/>
        </c:dLbls>
        <c:gapWidth val="219"/>
        <c:overlap val="-27"/>
        <c:axId val="185695232"/>
        <c:axId val="185697024"/>
      </c:barChart>
      <c:catAx>
        <c:axId val="1856952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85697024"/>
        <c:crosses val="autoZero"/>
        <c:auto val="1"/>
        <c:lblAlgn val="ctr"/>
        <c:lblOffset val="100"/>
        <c:noMultiLvlLbl val="0"/>
      </c:catAx>
      <c:valAx>
        <c:axId val="185697024"/>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85695232"/>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[立达数据图表.xlsx]Sheet17!$B$4:$B$8</c:f>
              <c:strCache>
                <c:ptCount val="5"/>
                <c:pt idx="0">
                  <c:v>非常愿意</c:v>
                </c:pt>
                <c:pt idx="1">
                  <c:v>比较愿意</c:v>
                </c:pt>
                <c:pt idx="2">
                  <c:v>一般</c:v>
                </c:pt>
                <c:pt idx="3">
                  <c:v>比较不愿意</c:v>
                </c:pt>
                <c:pt idx="4">
                  <c:v>非常不愿意</c:v>
                </c:pt>
              </c:strCache>
            </c:strRef>
          </c:cat>
          <c:val>
            <c:numRef>
              <c:f>[立达数据图表.xlsx]Sheet17!$C$4:$C$8</c:f>
              <c:numCache>
                <c:formatCode>0.00%</c:formatCode>
                <c:ptCount val="5"/>
                <c:pt idx="0">
                  <c:v>0.2613</c:v>
                </c:pt>
                <c:pt idx="1">
                  <c:v>0.3945</c:v>
                </c:pt>
                <c:pt idx="2">
                  <c:v>0.2746</c:v>
                </c:pt>
                <c:pt idx="3">
                  <c:v>0.0406</c:v>
                </c:pt>
                <c:pt idx="4">
                  <c:v>0.029</c:v>
                </c:pt>
              </c:numCache>
            </c:numRef>
          </c:val>
        </c:ser>
        <c:dLbls>
          <c:showLegendKey val="0"/>
          <c:showVal val="1"/>
          <c:showCatName val="0"/>
          <c:showSerName val="0"/>
          <c:showPercent val="0"/>
          <c:showBubbleSize val="0"/>
        </c:dLbls>
        <c:gapWidth val="219"/>
        <c:overlap val="-27"/>
        <c:axId val="185727616"/>
        <c:axId val="189604224"/>
      </c:barChart>
      <c:catAx>
        <c:axId val="1857276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89604224"/>
        <c:crosses val="autoZero"/>
        <c:auto val="1"/>
        <c:lblAlgn val="ctr"/>
        <c:lblOffset val="100"/>
        <c:noMultiLvlLbl val="0"/>
      </c:catAx>
      <c:valAx>
        <c:axId val="189604224"/>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85727616"/>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'[立达第三部分数据.xlsx]图3-9'!$A$2:$A$6</c:f>
              <c:strCache>
                <c:ptCount val="5"/>
                <c:pt idx="0">
                  <c:v>非常满意</c:v>
                </c:pt>
                <c:pt idx="1">
                  <c:v>比较满意</c:v>
                </c:pt>
                <c:pt idx="2">
                  <c:v>一般</c:v>
                </c:pt>
                <c:pt idx="3">
                  <c:v>比较不满意</c:v>
                </c:pt>
                <c:pt idx="4">
                  <c:v>非常不满意</c:v>
                </c:pt>
              </c:strCache>
            </c:strRef>
          </c:cat>
          <c:val>
            <c:numRef>
              <c:f>'[立达第三部分数据.xlsx]图3-9'!$B$2:$B$6</c:f>
              <c:numCache>
                <c:formatCode>0.00%</c:formatCode>
                <c:ptCount val="5"/>
                <c:pt idx="0">
                  <c:v>0.356037151702786</c:v>
                </c:pt>
                <c:pt idx="1">
                  <c:v>0.448916408668731</c:v>
                </c:pt>
                <c:pt idx="2">
                  <c:v>0.170278637770898</c:v>
                </c:pt>
                <c:pt idx="3">
                  <c:v>0.0185758513931889</c:v>
                </c:pt>
                <c:pt idx="4">
                  <c:v>0.00619195046439629</c:v>
                </c:pt>
              </c:numCache>
            </c:numRef>
          </c:val>
        </c:ser>
        <c:dLbls>
          <c:showLegendKey val="0"/>
          <c:showVal val="1"/>
          <c:showCatName val="0"/>
          <c:showSerName val="0"/>
          <c:showPercent val="0"/>
          <c:showBubbleSize val="0"/>
        </c:dLbls>
        <c:gapWidth val="219"/>
        <c:overlap val="-27"/>
        <c:axId val="146741504"/>
        <c:axId val="146751488"/>
      </c:barChart>
      <c:catAx>
        <c:axId val="1467415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6751488"/>
        <c:crosses val="autoZero"/>
        <c:auto val="1"/>
        <c:lblAlgn val="ctr"/>
        <c:lblOffset val="100"/>
        <c:noMultiLvlLbl val="0"/>
      </c:catAx>
      <c:valAx>
        <c:axId val="146751488"/>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6741504"/>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'[立达第三部分数据.xlsx]图3-10'!$A$2:$A$6</c:f>
              <c:strCache>
                <c:ptCount val="5"/>
                <c:pt idx="0">
                  <c:v>非常满意</c:v>
                </c:pt>
                <c:pt idx="1">
                  <c:v>比较满意</c:v>
                </c:pt>
                <c:pt idx="2">
                  <c:v>一般</c:v>
                </c:pt>
                <c:pt idx="3">
                  <c:v>比较不满意</c:v>
                </c:pt>
                <c:pt idx="4">
                  <c:v>非常不满意</c:v>
                </c:pt>
              </c:strCache>
            </c:strRef>
          </c:cat>
          <c:val>
            <c:numRef>
              <c:f>'[立达第三部分数据.xlsx]图3-10'!$B$2:$B$6</c:f>
              <c:numCache>
                <c:formatCode>0.00%</c:formatCode>
                <c:ptCount val="5"/>
                <c:pt idx="0">
                  <c:v>0.3246</c:v>
                </c:pt>
                <c:pt idx="1">
                  <c:v>0.5216</c:v>
                </c:pt>
                <c:pt idx="2">
                  <c:v>0.1428</c:v>
                </c:pt>
                <c:pt idx="3">
                  <c:v>0.0062</c:v>
                </c:pt>
                <c:pt idx="4">
                  <c:v>0.0048</c:v>
                </c:pt>
              </c:numCache>
            </c:numRef>
          </c:val>
        </c:ser>
        <c:dLbls>
          <c:showLegendKey val="0"/>
          <c:showVal val="1"/>
          <c:showCatName val="0"/>
          <c:showSerName val="0"/>
          <c:showPercent val="0"/>
          <c:showBubbleSize val="0"/>
        </c:dLbls>
        <c:gapWidth val="219"/>
        <c:overlap val="-27"/>
        <c:axId val="146782080"/>
        <c:axId val="146783616"/>
      </c:barChart>
      <c:catAx>
        <c:axId val="1467820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6783616"/>
        <c:crosses val="autoZero"/>
        <c:auto val="1"/>
        <c:lblAlgn val="ctr"/>
        <c:lblOffset val="100"/>
        <c:noMultiLvlLbl val="0"/>
      </c:catAx>
      <c:valAx>
        <c:axId val="146783616"/>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6782080"/>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'[立达第三部分数据.xlsx]图3-11'!$A$2:$A$6</c:f>
              <c:strCache>
                <c:ptCount val="5"/>
                <c:pt idx="0">
                  <c:v>非常满意</c:v>
                </c:pt>
                <c:pt idx="1">
                  <c:v>比较满意</c:v>
                </c:pt>
                <c:pt idx="2">
                  <c:v>一般</c:v>
                </c:pt>
                <c:pt idx="3">
                  <c:v>比较不满意</c:v>
                </c:pt>
                <c:pt idx="4">
                  <c:v>非常不满意</c:v>
                </c:pt>
              </c:strCache>
            </c:strRef>
          </c:cat>
          <c:val>
            <c:numRef>
              <c:f>'[立达第三部分数据.xlsx]图3-11'!$B$2:$B$6</c:f>
              <c:numCache>
                <c:formatCode>0.00%</c:formatCode>
                <c:ptCount val="5"/>
                <c:pt idx="0">
                  <c:v>0.2816</c:v>
                </c:pt>
                <c:pt idx="1">
                  <c:v>0.5621</c:v>
                </c:pt>
                <c:pt idx="2">
                  <c:v>0.13</c:v>
                </c:pt>
                <c:pt idx="3">
                  <c:v>0.0125</c:v>
                </c:pt>
                <c:pt idx="4">
                  <c:v>0.0138</c:v>
                </c:pt>
              </c:numCache>
            </c:numRef>
          </c:val>
        </c:ser>
        <c:dLbls>
          <c:showLegendKey val="0"/>
          <c:showVal val="1"/>
          <c:showCatName val="0"/>
          <c:showSerName val="0"/>
          <c:showPercent val="0"/>
          <c:showBubbleSize val="0"/>
        </c:dLbls>
        <c:gapWidth val="219"/>
        <c:overlap val="-27"/>
        <c:axId val="111293184"/>
        <c:axId val="111294720"/>
      </c:barChart>
      <c:catAx>
        <c:axId val="1112931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crossAx val="111294720"/>
        <c:crosses val="autoZero"/>
        <c:auto val="1"/>
        <c:lblAlgn val="ctr"/>
        <c:lblOffset val="100"/>
        <c:noMultiLvlLbl val="0"/>
      </c:catAx>
      <c:valAx>
        <c:axId val="111294720"/>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crossAx val="111293184"/>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'[立达第三部分数据.xlsx]图3-12'!$A$2:$A$6</c:f>
              <c:strCache>
                <c:ptCount val="5"/>
                <c:pt idx="0">
                  <c:v>非常满意</c:v>
                </c:pt>
                <c:pt idx="1">
                  <c:v>比较满意</c:v>
                </c:pt>
                <c:pt idx="2">
                  <c:v>一般</c:v>
                </c:pt>
                <c:pt idx="3">
                  <c:v>比较不满意</c:v>
                </c:pt>
                <c:pt idx="4">
                  <c:v>非常不满意</c:v>
                </c:pt>
              </c:strCache>
            </c:strRef>
          </c:cat>
          <c:val>
            <c:numRef>
              <c:f>'[立达第三部分数据.xlsx]图3-12'!$B$2:$B$6</c:f>
              <c:numCache>
                <c:formatCode>0.00%</c:formatCode>
                <c:ptCount val="5"/>
                <c:pt idx="0">
                  <c:v>0.3256</c:v>
                </c:pt>
                <c:pt idx="1">
                  <c:v>0.5042</c:v>
                </c:pt>
                <c:pt idx="2">
                  <c:v>0.1305</c:v>
                </c:pt>
                <c:pt idx="3">
                  <c:v>0.0198</c:v>
                </c:pt>
                <c:pt idx="4">
                  <c:v>0.0199</c:v>
                </c:pt>
              </c:numCache>
            </c:numRef>
          </c:val>
        </c:ser>
        <c:dLbls>
          <c:showLegendKey val="0"/>
          <c:showVal val="1"/>
          <c:showCatName val="0"/>
          <c:showSerName val="0"/>
          <c:showPercent val="0"/>
          <c:showBubbleSize val="0"/>
        </c:dLbls>
        <c:gapWidth val="219"/>
        <c:overlap val="-27"/>
        <c:axId val="111337856"/>
        <c:axId val="111339392"/>
      </c:barChart>
      <c:catAx>
        <c:axId val="1113378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11339392"/>
        <c:crosses val="autoZero"/>
        <c:auto val="1"/>
        <c:lblAlgn val="ctr"/>
        <c:lblOffset val="100"/>
        <c:noMultiLvlLbl val="0"/>
      </c:catAx>
      <c:valAx>
        <c:axId val="111339392"/>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11337856"/>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'[立达第三部分数据.xlsx]图3-13'!$A$2:$A$6</c:f>
              <c:strCache>
                <c:ptCount val="5"/>
                <c:pt idx="0">
                  <c:v>非常满意</c:v>
                </c:pt>
                <c:pt idx="1">
                  <c:v>比较满意</c:v>
                </c:pt>
                <c:pt idx="2">
                  <c:v>一般</c:v>
                </c:pt>
                <c:pt idx="3">
                  <c:v>比较不满意</c:v>
                </c:pt>
                <c:pt idx="4">
                  <c:v>非常不满意</c:v>
                </c:pt>
              </c:strCache>
            </c:strRef>
          </c:cat>
          <c:val>
            <c:numRef>
              <c:f>'[立达第三部分数据.xlsx]图3-13'!$B$2:$B$6</c:f>
              <c:numCache>
                <c:formatCode>0.00%</c:formatCode>
                <c:ptCount val="5"/>
                <c:pt idx="0">
                  <c:v>0.3203</c:v>
                </c:pt>
                <c:pt idx="1">
                  <c:v>0.4623</c:v>
                </c:pt>
                <c:pt idx="2">
                  <c:v>0.1946</c:v>
                </c:pt>
                <c:pt idx="3">
                  <c:v>0.0153</c:v>
                </c:pt>
                <c:pt idx="4">
                  <c:v>0.0075</c:v>
                </c:pt>
              </c:numCache>
            </c:numRef>
          </c:val>
        </c:ser>
        <c:dLbls>
          <c:showLegendKey val="0"/>
          <c:showVal val="1"/>
          <c:showCatName val="0"/>
          <c:showSerName val="0"/>
          <c:showPercent val="0"/>
          <c:showBubbleSize val="0"/>
        </c:dLbls>
        <c:gapWidth val="219"/>
        <c:overlap val="-27"/>
        <c:axId val="146890752"/>
        <c:axId val="146892288"/>
      </c:barChart>
      <c:catAx>
        <c:axId val="1468907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6892288"/>
        <c:crosses val="autoZero"/>
        <c:auto val="1"/>
        <c:lblAlgn val="ctr"/>
        <c:lblOffset val="100"/>
        <c:noMultiLvlLbl val="0"/>
      </c:catAx>
      <c:valAx>
        <c:axId val="146892288"/>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6890752"/>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'[工作簿1]图1-3'!$L$8:$L$9</c:f>
              <c:strCache>
                <c:ptCount val="2"/>
                <c:pt idx="0">
                  <c:v>男生</c:v>
                </c:pt>
                <c:pt idx="1">
                  <c:v>女生</c:v>
                </c:pt>
              </c:strCache>
            </c:strRef>
          </c:cat>
          <c:val>
            <c:numRef>
              <c:f>'[工作簿1]图1-3'!$N$8:$N$9</c:f>
              <c:numCache>
                <c:formatCode>0.00%</c:formatCode>
                <c:ptCount val="2"/>
                <c:pt idx="0">
                  <c:v>0.378690629011553</c:v>
                </c:pt>
                <c:pt idx="1">
                  <c:v>0.621309370988447</c:v>
                </c:pt>
              </c:numCache>
            </c:numRef>
          </c:val>
        </c:ser>
        <c:dLbls>
          <c:showLegendKey val="0"/>
          <c:showVal val="1"/>
          <c:showCatName val="1"/>
          <c:showSerName val="0"/>
          <c:showPercent val="0"/>
          <c:showBubbleSize val="0"/>
          <c:showLeaderLines val="1"/>
        </c:dLbls>
        <c:firstSliceAng val="0"/>
        <c:holeSize val="60"/>
      </c:doughnutChart>
      <c:spPr>
        <a:noFill/>
        <a:ln>
          <a:noFill/>
        </a:ln>
        <a:effectLst/>
      </c:spPr>
    </c:plotArea>
    <c:plotVisOnly val="1"/>
    <c:dispBlanksAs val="zero"/>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'[立达第三部分数据.xlsx]图3-14'!$A$2:$A$6</c:f>
              <c:strCache>
                <c:ptCount val="5"/>
                <c:pt idx="0">
                  <c:v>非常满意</c:v>
                </c:pt>
                <c:pt idx="1">
                  <c:v>比较满意</c:v>
                </c:pt>
                <c:pt idx="2">
                  <c:v>一般</c:v>
                </c:pt>
                <c:pt idx="3">
                  <c:v>比较不满意</c:v>
                </c:pt>
                <c:pt idx="4">
                  <c:v>非常不满意</c:v>
                </c:pt>
              </c:strCache>
            </c:strRef>
          </c:cat>
          <c:val>
            <c:numRef>
              <c:f>'[立达第三部分数据.xlsx]图3-14'!$B$2:$B$6</c:f>
              <c:numCache>
                <c:formatCode>0.00%</c:formatCode>
                <c:ptCount val="5"/>
                <c:pt idx="0">
                  <c:v>0.3096</c:v>
                </c:pt>
                <c:pt idx="1">
                  <c:v>0.5235</c:v>
                </c:pt>
                <c:pt idx="2">
                  <c:v>0.1366</c:v>
                </c:pt>
                <c:pt idx="3">
                  <c:v>0.0142</c:v>
                </c:pt>
                <c:pt idx="4">
                  <c:v>0.0161</c:v>
                </c:pt>
              </c:numCache>
            </c:numRef>
          </c:val>
        </c:ser>
        <c:dLbls>
          <c:showLegendKey val="0"/>
          <c:showVal val="1"/>
          <c:showCatName val="0"/>
          <c:showSerName val="0"/>
          <c:showPercent val="0"/>
          <c:showBubbleSize val="0"/>
        </c:dLbls>
        <c:gapWidth val="219"/>
        <c:overlap val="-27"/>
        <c:axId val="146926976"/>
        <c:axId val="146928768"/>
      </c:barChart>
      <c:catAx>
        <c:axId val="1469269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6928768"/>
        <c:crosses val="autoZero"/>
        <c:auto val="1"/>
        <c:lblAlgn val="ctr"/>
        <c:lblOffset val="100"/>
        <c:noMultiLvlLbl val="0"/>
      </c:catAx>
      <c:valAx>
        <c:axId val="146928768"/>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6926976"/>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'[立达第三部分数据.xlsx]图3-15'!$A$2:$A$6</c:f>
              <c:strCache>
                <c:ptCount val="5"/>
                <c:pt idx="0">
                  <c:v>非常满意</c:v>
                </c:pt>
                <c:pt idx="1">
                  <c:v>比较满意</c:v>
                </c:pt>
                <c:pt idx="2">
                  <c:v>一般</c:v>
                </c:pt>
                <c:pt idx="3">
                  <c:v>比较不满意</c:v>
                </c:pt>
                <c:pt idx="4">
                  <c:v>非常不满意</c:v>
                </c:pt>
              </c:strCache>
            </c:strRef>
          </c:cat>
          <c:val>
            <c:numRef>
              <c:f>'[立达第三部分数据.xlsx]图3-15'!$B$2:$B$6</c:f>
              <c:numCache>
                <c:formatCode>0.00%</c:formatCode>
                <c:ptCount val="5"/>
                <c:pt idx="0">
                  <c:v>0.3202</c:v>
                </c:pt>
                <c:pt idx="1">
                  <c:v>0.5316</c:v>
                </c:pt>
                <c:pt idx="2">
                  <c:v>0.1309</c:v>
                </c:pt>
                <c:pt idx="3">
                  <c:v>0.0122</c:v>
                </c:pt>
                <c:pt idx="4">
                  <c:v>0.0051</c:v>
                </c:pt>
              </c:numCache>
            </c:numRef>
          </c:val>
        </c:ser>
        <c:dLbls>
          <c:showLegendKey val="0"/>
          <c:showVal val="1"/>
          <c:showCatName val="0"/>
          <c:showSerName val="0"/>
          <c:showPercent val="0"/>
          <c:showBubbleSize val="0"/>
        </c:dLbls>
        <c:gapWidth val="219"/>
        <c:overlap val="-27"/>
        <c:axId val="148593664"/>
        <c:axId val="148599552"/>
      </c:barChart>
      <c:catAx>
        <c:axId val="1485936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8599552"/>
        <c:crosses val="autoZero"/>
        <c:auto val="1"/>
        <c:lblAlgn val="ctr"/>
        <c:lblOffset val="100"/>
        <c:noMultiLvlLbl val="0"/>
      </c:catAx>
      <c:valAx>
        <c:axId val="148599552"/>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8593664"/>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'[立达第三部分数据.xlsx]图3-16'!$A$2:$A$6</c:f>
              <c:strCache>
                <c:ptCount val="5"/>
                <c:pt idx="0">
                  <c:v>非常满意</c:v>
                </c:pt>
                <c:pt idx="1">
                  <c:v>比较满意</c:v>
                </c:pt>
                <c:pt idx="2">
                  <c:v>一般</c:v>
                </c:pt>
                <c:pt idx="3">
                  <c:v>比较不满意</c:v>
                </c:pt>
                <c:pt idx="4">
                  <c:v>非常不满意</c:v>
                </c:pt>
              </c:strCache>
            </c:strRef>
          </c:cat>
          <c:val>
            <c:numRef>
              <c:f>'[立达第三部分数据.xlsx]图3-16'!$B$2:$B$6</c:f>
              <c:numCache>
                <c:formatCode>0.00%</c:formatCode>
                <c:ptCount val="5"/>
                <c:pt idx="0">
                  <c:v>0.2916</c:v>
                </c:pt>
                <c:pt idx="1">
                  <c:v>0.5291</c:v>
                </c:pt>
                <c:pt idx="2">
                  <c:v>0.1533</c:v>
                </c:pt>
                <c:pt idx="3">
                  <c:v>0.0183</c:v>
                </c:pt>
                <c:pt idx="4">
                  <c:v>0.0077</c:v>
                </c:pt>
              </c:numCache>
            </c:numRef>
          </c:val>
        </c:ser>
        <c:dLbls>
          <c:showLegendKey val="0"/>
          <c:showVal val="1"/>
          <c:showCatName val="0"/>
          <c:showSerName val="0"/>
          <c:showPercent val="0"/>
          <c:showBubbleSize val="0"/>
        </c:dLbls>
        <c:gapWidth val="219"/>
        <c:overlap val="-27"/>
        <c:axId val="148621952"/>
        <c:axId val="148775296"/>
      </c:barChart>
      <c:catAx>
        <c:axId val="1486219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8775296"/>
        <c:crosses val="autoZero"/>
        <c:auto val="1"/>
        <c:lblAlgn val="ctr"/>
        <c:lblOffset val="100"/>
        <c:noMultiLvlLbl val="0"/>
      </c:catAx>
      <c:valAx>
        <c:axId val="148775296"/>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8621952"/>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'[立达第三部分数据.xlsx]图3-17'!$A$2:$A$6</c:f>
              <c:strCache>
                <c:ptCount val="5"/>
                <c:pt idx="0">
                  <c:v>非常满意</c:v>
                </c:pt>
                <c:pt idx="1">
                  <c:v>比较满意</c:v>
                </c:pt>
                <c:pt idx="2">
                  <c:v>一般</c:v>
                </c:pt>
                <c:pt idx="3">
                  <c:v>比较不满意</c:v>
                </c:pt>
                <c:pt idx="4">
                  <c:v>非常不满意</c:v>
                </c:pt>
              </c:strCache>
            </c:strRef>
          </c:cat>
          <c:val>
            <c:numRef>
              <c:f>'[立达第三部分数据.xlsx]图3-17'!$B$2:$B$6</c:f>
              <c:numCache>
                <c:formatCode>0.00%</c:formatCode>
                <c:ptCount val="5"/>
                <c:pt idx="0">
                  <c:v>0.2813</c:v>
                </c:pt>
                <c:pt idx="1">
                  <c:v>0.5484</c:v>
                </c:pt>
                <c:pt idx="2">
                  <c:v>0.1362</c:v>
                </c:pt>
                <c:pt idx="3">
                  <c:v>0.0236</c:v>
                </c:pt>
                <c:pt idx="4">
                  <c:v>0.0105</c:v>
                </c:pt>
              </c:numCache>
            </c:numRef>
          </c:val>
        </c:ser>
        <c:dLbls>
          <c:showLegendKey val="0"/>
          <c:showVal val="1"/>
          <c:showCatName val="0"/>
          <c:showSerName val="0"/>
          <c:showPercent val="0"/>
          <c:showBubbleSize val="0"/>
        </c:dLbls>
        <c:gapWidth val="219"/>
        <c:overlap val="-27"/>
        <c:axId val="148818560"/>
        <c:axId val="148820352"/>
      </c:barChart>
      <c:catAx>
        <c:axId val="1488185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8820352"/>
        <c:crosses val="autoZero"/>
        <c:auto val="1"/>
        <c:lblAlgn val="ctr"/>
        <c:lblOffset val="100"/>
        <c:noMultiLvlLbl val="0"/>
      </c:catAx>
      <c:valAx>
        <c:axId val="148820352"/>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8818560"/>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'[立达第三部分数据.xlsx]图3-18'!$A$2:$A$6</c:f>
              <c:strCache>
                <c:ptCount val="5"/>
                <c:pt idx="0">
                  <c:v>非常满意</c:v>
                </c:pt>
                <c:pt idx="1">
                  <c:v>比较满意</c:v>
                </c:pt>
                <c:pt idx="2">
                  <c:v>一般</c:v>
                </c:pt>
                <c:pt idx="3">
                  <c:v>比较不满意</c:v>
                </c:pt>
                <c:pt idx="4">
                  <c:v>非常不满意</c:v>
                </c:pt>
              </c:strCache>
            </c:strRef>
          </c:cat>
          <c:val>
            <c:numRef>
              <c:f>'[立达第三部分数据.xlsx]图3-18'!$B$2:$B$6</c:f>
              <c:numCache>
                <c:formatCode>0.00%</c:formatCode>
                <c:ptCount val="5"/>
                <c:pt idx="0">
                  <c:v>0.2862</c:v>
                </c:pt>
                <c:pt idx="1">
                  <c:v>0.5321</c:v>
                </c:pt>
                <c:pt idx="2">
                  <c:v>0.1398</c:v>
                </c:pt>
                <c:pt idx="3">
                  <c:v>0.0213</c:v>
                </c:pt>
                <c:pt idx="4">
                  <c:v>0.0206</c:v>
                </c:pt>
              </c:numCache>
            </c:numRef>
          </c:val>
        </c:ser>
        <c:dLbls>
          <c:showLegendKey val="0"/>
          <c:showVal val="1"/>
          <c:showCatName val="0"/>
          <c:showSerName val="0"/>
          <c:showPercent val="0"/>
          <c:showBubbleSize val="0"/>
        </c:dLbls>
        <c:gapWidth val="219"/>
        <c:overlap val="-27"/>
        <c:axId val="148859136"/>
        <c:axId val="148865024"/>
      </c:barChart>
      <c:catAx>
        <c:axId val="1488591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8865024"/>
        <c:crosses val="autoZero"/>
        <c:auto val="1"/>
        <c:lblAlgn val="ctr"/>
        <c:lblOffset val="100"/>
        <c:noMultiLvlLbl val="0"/>
      </c:catAx>
      <c:valAx>
        <c:axId val="148865024"/>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8859136"/>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'[立达第三部分数据.xlsx]图3-19'!$A$2:$A$6</c:f>
              <c:strCache>
                <c:ptCount val="5"/>
                <c:pt idx="0">
                  <c:v>非常满意</c:v>
                </c:pt>
                <c:pt idx="1">
                  <c:v>比较满意</c:v>
                </c:pt>
                <c:pt idx="2">
                  <c:v>一般</c:v>
                </c:pt>
                <c:pt idx="3">
                  <c:v>比较不满意</c:v>
                </c:pt>
                <c:pt idx="4">
                  <c:v>非常不满意</c:v>
                </c:pt>
              </c:strCache>
            </c:strRef>
          </c:cat>
          <c:val>
            <c:numRef>
              <c:f>'[立达第三部分数据.xlsx]图3-19'!$B$2:$B$6</c:f>
              <c:numCache>
                <c:formatCode>0.00%</c:formatCode>
                <c:ptCount val="5"/>
                <c:pt idx="0">
                  <c:v>0.3012</c:v>
                </c:pt>
                <c:pt idx="1">
                  <c:v>0.4915</c:v>
                </c:pt>
                <c:pt idx="2">
                  <c:v>0.1915</c:v>
                </c:pt>
                <c:pt idx="3">
                  <c:v>0.0062</c:v>
                </c:pt>
                <c:pt idx="4">
                  <c:v>0.0096</c:v>
                </c:pt>
              </c:numCache>
            </c:numRef>
          </c:val>
        </c:ser>
        <c:dLbls>
          <c:showLegendKey val="0"/>
          <c:showVal val="1"/>
          <c:showCatName val="0"/>
          <c:showSerName val="0"/>
          <c:showPercent val="0"/>
          <c:showBubbleSize val="0"/>
        </c:dLbls>
        <c:gapWidth val="219"/>
        <c:overlap val="-27"/>
        <c:axId val="150042496"/>
        <c:axId val="150044032"/>
      </c:barChart>
      <c:catAx>
        <c:axId val="1500424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50044032"/>
        <c:crosses val="autoZero"/>
        <c:auto val="1"/>
        <c:lblAlgn val="ctr"/>
        <c:lblOffset val="100"/>
        <c:noMultiLvlLbl val="0"/>
      </c:catAx>
      <c:valAx>
        <c:axId val="150044032"/>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50042496"/>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'[立达第三部分数据.xlsx]图3-20 '!$A$2:$A$6</c:f>
              <c:strCache>
                <c:ptCount val="5"/>
                <c:pt idx="0">
                  <c:v>非常满意</c:v>
                </c:pt>
                <c:pt idx="1">
                  <c:v>比较满意</c:v>
                </c:pt>
                <c:pt idx="2">
                  <c:v>一般</c:v>
                </c:pt>
                <c:pt idx="3">
                  <c:v>比较不满意</c:v>
                </c:pt>
                <c:pt idx="4">
                  <c:v>非常不满意</c:v>
                </c:pt>
              </c:strCache>
            </c:strRef>
          </c:cat>
          <c:val>
            <c:numRef>
              <c:f>'[立达第三部分数据.xlsx]图3-20 '!$B$2:$B$6</c:f>
              <c:numCache>
                <c:formatCode>0.00%</c:formatCode>
                <c:ptCount val="5"/>
                <c:pt idx="0">
                  <c:v>0.2831</c:v>
                </c:pt>
                <c:pt idx="1">
                  <c:v>0.5219</c:v>
                </c:pt>
                <c:pt idx="2">
                  <c:v>0.1521</c:v>
                </c:pt>
                <c:pt idx="3">
                  <c:v>0.0294</c:v>
                </c:pt>
                <c:pt idx="4">
                  <c:v>0.0135</c:v>
                </c:pt>
              </c:numCache>
            </c:numRef>
          </c:val>
        </c:ser>
        <c:dLbls>
          <c:showLegendKey val="0"/>
          <c:showVal val="1"/>
          <c:showCatName val="0"/>
          <c:showSerName val="0"/>
          <c:showPercent val="0"/>
          <c:showBubbleSize val="0"/>
        </c:dLbls>
        <c:gapWidth val="219"/>
        <c:overlap val="-27"/>
        <c:axId val="150074880"/>
        <c:axId val="150076416"/>
      </c:barChart>
      <c:catAx>
        <c:axId val="1500748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50076416"/>
        <c:crosses val="autoZero"/>
        <c:auto val="1"/>
        <c:lblAlgn val="ctr"/>
        <c:lblOffset val="100"/>
        <c:noMultiLvlLbl val="0"/>
      </c:catAx>
      <c:valAx>
        <c:axId val="150076416"/>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50074880"/>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[立达第三部分数据.xlsx]Sheet12!$B$4:$B$8</c:f>
              <c:strCache>
                <c:ptCount val="5"/>
                <c:pt idx="0">
                  <c:v>非常满意</c:v>
                </c:pt>
                <c:pt idx="1">
                  <c:v>比较满意</c:v>
                </c:pt>
                <c:pt idx="2">
                  <c:v>一般</c:v>
                </c:pt>
                <c:pt idx="3">
                  <c:v>比较不满意</c:v>
                </c:pt>
                <c:pt idx="4">
                  <c:v>非常不满意</c:v>
                </c:pt>
              </c:strCache>
            </c:strRef>
          </c:cat>
          <c:val>
            <c:numRef>
              <c:f>[立达第三部分数据.xlsx]Sheet12!$C$4:$C$8</c:f>
              <c:numCache>
                <c:formatCode>0.00%</c:formatCode>
                <c:ptCount val="5"/>
                <c:pt idx="0">
                  <c:v>0.5305</c:v>
                </c:pt>
                <c:pt idx="1">
                  <c:v>0.3046</c:v>
                </c:pt>
                <c:pt idx="2">
                  <c:v>0.1527</c:v>
                </c:pt>
                <c:pt idx="3">
                  <c:v>0.0122</c:v>
                </c:pt>
                <c:pt idx="4">
                  <c:v>0</c:v>
                </c:pt>
              </c:numCache>
            </c:numRef>
          </c:val>
        </c:ser>
        <c:dLbls>
          <c:showLegendKey val="0"/>
          <c:showVal val="1"/>
          <c:showCatName val="0"/>
          <c:showSerName val="0"/>
          <c:showPercent val="0"/>
          <c:showBubbleSize val="0"/>
        </c:dLbls>
        <c:gapWidth val="219"/>
        <c:overlap val="-27"/>
        <c:axId val="150021248"/>
        <c:axId val="150022784"/>
      </c:barChart>
      <c:catAx>
        <c:axId val="1500212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50022784"/>
        <c:crosses val="autoZero"/>
        <c:auto val="1"/>
        <c:lblAlgn val="ctr"/>
        <c:lblOffset val="100"/>
        <c:noMultiLvlLbl val="0"/>
      </c:catAx>
      <c:valAx>
        <c:axId val="150022784"/>
        <c:scaling>
          <c:orientation val="minMax"/>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50021248"/>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lumMod val="75000"/>
                </a:schemeClr>
              </a:solidFill>
              <a:ln>
                <a:noFill/>
              </a:ln>
              <a:effectLst/>
            </c:spPr>
          </c:dPt>
          <c:dPt>
            <c:idx val="1"/>
            <c:invertIfNegative val="0"/>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'[工作簿1]图1-4'!$B$4:$B$5</c:f>
              <c:strCache>
                <c:ptCount val="2"/>
                <c:pt idx="0">
                  <c:v>就业率</c:v>
                </c:pt>
                <c:pt idx="1">
                  <c:v>签约率</c:v>
                </c:pt>
              </c:strCache>
            </c:strRef>
          </c:cat>
          <c:val>
            <c:numRef>
              <c:f>'[工作簿1]图1-4'!$C$4:$C$5</c:f>
              <c:numCache>
                <c:formatCode>0.00%</c:formatCode>
                <c:ptCount val="2"/>
                <c:pt idx="0">
                  <c:v>0.9812</c:v>
                </c:pt>
                <c:pt idx="1">
                  <c:v>0.8896</c:v>
                </c:pt>
              </c:numCache>
            </c:numRef>
          </c:val>
        </c:ser>
        <c:dLbls>
          <c:showLegendKey val="0"/>
          <c:showVal val="1"/>
          <c:showCatName val="0"/>
          <c:showSerName val="0"/>
          <c:showPercent val="0"/>
          <c:showBubbleSize val="0"/>
        </c:dLbls>
        <c:gapWidth val="219"/>
        <c:overlap val="-27"/>
        <c:axId val="147892480"/>
        <c:axId val="147908096"/>
      </c:barChart>
      <c:catAx>
        <c:axId val="1478924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7908096"/>
        <c:crosses val="autoZero"/>
        <c:auto val="1"/>
        <c:lblAlgn val="ctr"/>
        <c:lblOffset val="100"/>
        <c:noMultiLvlLbl val="0"/>
      </c:catAx>
      <c:valAx>
        <c:axId val="147908096"/>
        <c:scaling>
          <c:orientation val="minMax"/>
          <c:min val="0"/>
        </c:scaling>
        <c:delete val="1"/>
        <c:axPos val="l"/>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7892480"/>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'[立达数据图表.xlsx]图1-5'!$A$2:$A$6</c:f>
              <c:strCache>
                <c:ptCount val="5"/>
                <c:pt idx="0">
                  <c:v>基础与外语学院</c:v>
                </c:pt>
                <c:pt idx="1">
                  <c:v>护理学院</c:v>
                </c:pt>
                <c:pt idx="2">
                  <c:v>艺术学院</c:v>
                </c:pt>
                <c:pt idx="3">
                  <c:v>经管学院</c:v>
                </c:pt>
                <c:pt idx="4">
                  <c:v>信息学院</c:v>
                </c:pt>
              </c:strCache>
            </c:strRef>
          </c:cat>
          <c:val>
            <c:numRef>
              <c:f>'[立达数据图表.xlsx]图1-5'!$D$2:$D$6</c:f>
              <c:numCache>
                <c:formatCode>0.00%</c:formatCode>
                <c:ptCount val="5"/>
                <c:pt idx="0">
                  <c:v>0.9692</c:v>
                </c:pt>
                <c:pt idx="1">
                  <c:v>0.9679</c:v>
                </c:pt>
                <c:pt idx="2">
                  <c:v>0.9868</c:v>
                </c:pt>
                <c:pt idx="3">
                  <c:v>0.9969</c:v>
                </c:pt>
                <c:pt idx="4">
                  <c:v>0.9612</c:v>
                </c:pt>
              </c:numCache>
            </c:numRef>
          </c:val>
        </c:ser>
        <c:dLbls>
          <c:showLegendKey val="0"/>
          <c:showVal val="1"/>
          <c:showCatName val="0"/>
          <c:showSerName val="0"/>
          <c:showPercent val="0"/>
          <c:showBubbleSize val="0"/>
        </c:dLbls>
        <c:gapWidth val="182"/>
        <c:axId val="149965440"/>
        <c:axId val="149973632"/>
      </c:barChart>
      <c:catAx>
        <c:axId val="1499654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9973632"/>
        <c:crosses val="autoZero"/>
        <c:auto val="1"/>
        <c:lblAlgn val="ctr"/>
        <c:lblOffset val="100"/>
        <c:noMultiLvlLbl val="0"/>
      </c:catAx>
      <c:valAx>
        <c:axId val="149973632"/>
        <c:scaling>
          <c:orientation val="minMax"/>
          <c:min val="0"/>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49965440"/>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'[立达数据图表.xlsx]图1-6'!$A$2:$A$6</c:f>
              <c:strCache>
                <c:ptCount val="5"/>
                <c:pt idx="0">
                  <c:v>基础与外语学院</c:v>
                </c:pt>
                <c:pt idx="1">
                  <c:v>护理学院</c:v>
                </c:pt>
                <c:pt idx="2">
                  <c:v>艺术学院</c:v>
                </c:pt>
                <c:pt idx="3">
                  <c:v>经管学院</c:v>
                </c:pt>
                <c:pt idx="4">
                  <c:v>信息学院</c:v>
                </c:pt>
              </c:strCache>
            </c:strRef>
          </c:cat>
          <c:val>
            <c:numRef>
              <c:f>'[立达数据图表.xlsx]图1-6'!$C$2:$C$6</c:f>
              <c:numCache>
                <c:formatCode>0.00%</c:formatCode>
                <c:ptCount val="5"/>
                <c:pt idx="0">
                  <c:v>0.9692</c:v>
                </c:pt>
                <c:pt idx="1">
                  <c:v>0.7034</c:v>
                </c:pt>
                <c:pt idx="2">
                  <c:v>0.9638</c:v>
                </c:pt>
                <c:pt idx="3">
                  <c:v>0.9949</c:v>
                </c:pt>
                <c:pt idx="4">
                  <c:v>0.8627</c:v>
                </c:pt>
              </c:numCache>
            </c:numRef>
          </c:val>
        </c:ser>
        <c:dLbls>
          <c:showLegendKey val="0"/>
          <c:showVal val="1"/>
          <c:showCatName val="0"/>
          <c:showSerName val="0"/>
          <c:showPercent val="0"/>
          <c:showBubbleSize val="0"/>
        </c:dLbls>
        <c:gapWidth val="182"/>
        <c:axId val="169953152"/>
        <c:axId val="170639744"/>
      </c:barChart>
      <c:catAx>
        <c:axId val="1699531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0639744"/>
        <c:crosses val="autoZero"/>
        <c:auto val="1"/>
        <c:lblAlgn val="ctr"/>
        <c:lblOffset val="100"/>
        <c:noMultiLvlLbl val="0"/>
      </c:catAx>
      <c:valAx>
        <c:axId val="170639744"/>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69953152"/>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spPr/>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6"/>
              </a:solidFill>
              <a:ln>
                <a:noFill/>
              </a:ln>
              <a:effectLst/>
            </c:spPr>
          </c:dPt>
          <c:dPt>
            <c:idx val="10"/>
            <c:invertIfNegative val="0"/>
            <c:bubble3D val="0"/>
            <c:spPr>
              <a:solidFill>
                <a:schemeClr val="accent2"/>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'[立达数据图表2019.xlsx]图1-7'!$A$2:$A$12</c:f>
              <c:strCache>
                <c:ptCount val="11"/>
                <c:pt idx="0">
                  <c:v>党政机关</c:v>
                </c:pt>
                <c:pt idx="1">
                  <c:v>自主创业</c:v>
                </c:pt>
                <c:pt idx="2">
                  <c:v>基层党政机关</c:v>
                </c:pt>
                <c:pt idx="3">
                  <c:v>艰苦行业企业</c:v>
                </c:pt>
                <c:pt idx="4">
                  <c:v>农村建制村</c:v>
                </c:pt>
                <c:pt idx="5">
                  <c:v>其他事业单位</c:v>
                </c:pt>
                <c:pt idx="6">
                  <c:v>国有企业</c:v>
                </c:pt>
                <c:pt idx="7">
                  <c:v>三资企业</c:v>
                </c:pt>
                <c:pt idx="8">
                  <c:v>其他企业</c:v>
                </c:pt>
                <c:pt idx="9">
                  <c:v>医疗卫生单位</c:v>
                </c:pt>
                <c:pt idx="10">
                  <c:v>中小企业</c:v>
                </c:pt>
              </c:strCache>
            </c:strRef>
          </c:cat>
          <c:val>
            <c:numRef>
              <c:f>'[立达数据图表2019.xlsx]图1-7'!$D$2:$D$12</c:f>
              <c:numCache>
                <c:formatCode>#0.00%</c:formatCode>
                <c:ptCount val="11"/>
                <c:pt idx="0">
                  <c:v>0.0005</c:v>
                </c:pt>
                <c:pt idx="1">
                  <c:v>0.0006</c:v>
                </c:pt>
                <c:pt idx="2">
                  <c:v>0.001</c:v>
                </c:pt>
                <c:pt idx="3">
                  <c:v>0.001</c:v>
                </c:pt>
                <c:pt idx="4">
                  <c:v>0.0015</c:v>
                </c:pt>
                <c:pt idx="5">
                  <c:v>0.0025</c:v>
                </c:pt>
                <c:pt idx="6">
                  <c:v>0.0232</c:v>
                </c:pt>
                <c:pt idx="7">
                  <c:v>0.0287</c:v>
                </c:pt>
                <c:pt idx="8">
                  <c:v>0.0434</c:v>
                </c:pt>
                <c:pt idx="9">
                  <c:v>0.1558</c:v>
                </c:pt>
                <c:pt idx="10">
                  <c:v>0.7418</c:v>
                </c:pt>
              </c:numCache>
            </c:numRef>
          </c:val>
        </c:ser>
        <c:dLbls>
          <c:showLegendKey val="0"/>
          <c:showVal val="1"/>
          <c:showCatName val="0"/>
          <c:showSerName val="0"/>
          <c:showPercent val="0"/>
          <c:showBubbleSize val="0"/>
        </c:dLbls>
        <c:gapWidth val="182"/>
        <c:overlap val="0"/>
        <c:axId val="402855347"/>
        <c:axId val="782494891"/>
      </c:barChart>
      <c:catAx>
        <c:axId val="402855347"/>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782494891"/>
        <c:crosses val="autoZero"/>
        <c:auto val="1"/>
        <c:lblAlgn val="ctr"/>
        <c:lblOffset val="100"/>
        <c:noMultiLvlLbl val="0"/>
      </c:catAx>
      <c:valAx>
        <c:axId val="782494891"/>
        <c:scaling>
          <c:orientation val="minMax"/>
        </c:scaling>
        <c:delete val="1"/>
        <c:axPos val="b"/>
        <c:numFmt formatCode="#0.00%" sourceLinked="1"/>
        <c:majorTickMark val="none"/>
        <c:minorTickMark val="none"/>
        <c:tickLblPos val="nextTo"/>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402855347"/>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'[立达数据图表.xlsx]图1-8'!$I$4:$I$8</c:f>
              <c:strCache>
                <c:ptCount val="5"/>
                <c:pt idx="0">
                  <c:v>基础与外语学院</c:v>
                </c:pt>
                <c:pt idx="1">
                  <c:v>护理学院</c:v>
                </c:pt>
                <c:pt idx="2">
                  <c:v>艺术学院</c:v>
                </c:pt>
                <c:pt idx="3">
                  <c:v>经管学院</c:v>
                </c:pt>
                <c:pt idx="4">
                  <c:v>信息学院</c:v>
                </c:pt>
              </c:strCache>
            </c:strRef>
          </c:cat>
          <c:val>
            <c:numRef>
              <c:f>'[立达数据图表.xlsx]图1-8'!$L$4:$L$8</c:f>
              <c:numCache>
                <c:formatCode>0.00%</c:formatCode>
                <c:ptCount val="5"/>
                <c:pt idx="0">
                  <c:v>0.0384615384615385</c:v>
                </c:pt>
                <c:pt idx="1">
                  <c:v>0.217948717948718</c:v>
                </c:pt>
                <c:pt idx="2">
                  <c:v>0.256410256410256</c:v>
                </c:pt>
                <c:pt idx="3">
                  <c:v>0.320512820512821</c:v>
                </c:pt>
                <c:pt idx="4">
                  <c:v>0.166666666666667</c:v>
                </c:pt>
              </c:numCache>
            </c:numRef>
          </c:val>
        </c:ser>
        <c:dLbls>
          <c:showLegendKey val="0"/>
          <c:showVal val="1"/>
          <c:showCatName val="0"/>
          <c:showSerName val="0"/>
          <c:showPercent val="0"/>
          <c:showBubbleSize val="0"/>
        </c:dLbls>
        <c:gapWidth val="182"/>
        <c:axId val="170384000"/>
        <c:axId val="170389888"/>
      </c:barChart>
      <c:catAx>
        <c:axId val="1703840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0389888"/>
        <c:crosses val="autoZero"/>
        <c:auto val="1"/>
        <c:lblAlgn val="ctr"/>
        <c:lblOffset val="100"/>
        <c:noMultiLvlLbl val="0"/>
      </c:catAx>
      <c:valAx>
        <c:axId val="170389888"/>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0384000"/>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'[立达数据图表.xlsx]图2-1'!$B$3:$B$7</c:f>
              <c:strCache>
                <c:ptCount val="5"/>
                <c:pt idx="0">
                  <c:v>非常不对口</c:v>
                </c:pt>
                <c:pt idx="1">
                  <c:v>比较不对口</c:v>
                </c:pt>
                <c:pt idx="2">
                  <c:v>一般</c:v>
                </c:pt>
                <c:pt idx="3">
                  <c:v>比较对口</c:v>
                </c:pt>
                <c:pt idx="4">
                  <c:v>非常对口</c:v>
                </c:pt>
              </c:strCache>
            </c:strRef>
          </c:cat>
          <c:val>
            <c:numRef>
              <c:f>'[立达数据图表.xlsx]图2-1'!$C$3:$C$7</c:f>
              <c:numCache>
                <c:formatCode>0.00%</c:formatCode>
                <c:ptCount val="5"/>
                <c:pt idx="0">
                  <c:v>0.0533</c:v>
                </c:pt>
                <c:pt idx="1">
                  <c:v>0.152</c:v>
                </c:pt>
                <c:pt idx="2">
                  <c:v>0.1296</c:v>
                </c:pt>
                <c:pt idx="3">
                  <c:v>0.3153</c:v>
                </c:pt>
                <c:pt idx="4">
                  <c:v>0.3498</c:v>
                </c:pt>
              </c:numCache>
            </c:numRef>
          </c:val>
        </c:ser>
        <c:dLbls>
          <c:showLegendKey val="0"/>
          <c:showVal val="1"/>
          <c:showCatName val="0"/>
          <c:showSerName val="0"/>
          <c:showPercent val="0"/>
          <c:showBubbleSize val="0"/>
        </c:dLbls>
        <c:gapWidth val="182"/>
        <c:axId val="170412288"/>
        <c:axId val="170414080"/>
      </c:barChart>
      <c:catAx>
        <c:axId val="1704122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0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0414080"/>
        <c:crosses val="autoZero"/>
        <c:auto val="1"/>
        <c:lblAlgn val="ctr"/>
        <c:lblOffset val="100"/>
        <c:noMultiLvlLbl val="0"/>
      </c:catAx>
      <c:valAx>
        <c:axId val="170414080"/>
        <c:scaling>
          <c:orientation val="minMax"/>
        </c:scaling>
        <c:delete val="1"/>
        <c:axPos val="b"/>
        <c:numFmt formatCode="0.00%" sourceLinked="1"/>
        <c:majorTickMark val="none"/>
        <c:minorTickMark val="none"/>
        <c:tickLblPos val="none"/>
        <c:txPr>
          <a:bodyPr rot="-60000000" spcFirstLastPara="0" vertOverflow="ellipsis" vert="horz" wrap="square" anchor="ctr" anchorCtr="1"/>
          <a:lstStyle/>
          <a:p>
            <a:pPr>
              <a:defRPr lang="zh-CN" sz="1000" b="1"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70412288"/>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000" b="1">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4885</Words>
  <Characters>27849</Characters>
  <Lines>232</Lines>
  <Paragraphs>65</Paragraphs>
  <TotalTime>1</TotalTime>
  <ScaleCrop>false</ScaleCrop>
  <LinksUpToDate>false</LinksUpToDate>
  <CharactersWithSpaces>32669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2019-12-24T02:01:00Z</dcterms:created>
  <dc:creator>郭实工作室</dc:creator>
  <cp:lastModifiedBy>郭实工作室</cp:lastModifiedBy>
  <dcterms:modified xsi:type="dcterms:W3CDTF">2020-01-14T09:19:46Z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